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B9D2" w14:textId="6A775AF8" w:rsidR="006C15F7" w:rsidRPr="00E548C6" w:rsidRDefault="006C15F7" w:rsidP="006C6CBF">
      <w:pPr>
        <w:rPr>
          <w:rFonts w:asciiTheme="minorHAnsi" w:hAnsiTheme="minorHAnsi" w:cstheme="minorHAnsi"/>
          <w:lang w:val="es-ES_tradnl"/>
        </w:rPr>
      </w:pPr>
    </w:p>
    <w:p w14:paraId="12E359D5" w14:textId="77777777" w:rsidR="0008347B" w:rsidRPr="0008347B" w:rsidRDefault="0008347B" w:rsidP="0008347B">
      <w:pPr>
        <w:pStyle w:val="Autores"/>
        <w:rPr>
          <w:rFonts w:asciiTheme="minorHAnsi" w:eastAsiaTheme="majorEastAsia" w:hAnsiTheme="minorHAnsi" w:cstheme="minorHAnsi"/>
          <w:bCs/>
          <w:smallCaps/>
          <w:spacing w:val="-10"/>
          <w:kern w:val="28"/>
          <w:sz w:val="36"/>
          <w:szCs w:val="56"/>
          <w:lang w:val="es-ES_tradnl"/>
        </w:rPr>
      </w:pPr>
      <w:r w:rsidRPr="0008347B">
        <w:rPr>
          <w:rFonts w:asciiTheme="minorHAnsi" w:eastAsiaTheme="majorEastAsia" w:hAnsiTheme="minorHAnsi" w:cstheme="minorHAnsi"/>
          <w:bCs/>
          <w:smallCaps/>
          <w:spacing w:val="-10"/>
          <w:kern w:val="28"/>
          <w:sz w:val="36"/>
          <w:szCs w:val="56"/>
          <w:lang w:val="es-ES_tradnl"/>
        </w:rPr>
        <w:t>RESPUESTA DE POLÍTICA MONETARIA ANTE DIFERENTES CHOQUES EN LA ECONOMÍA COLOMBIANA: UNA APLICACIÓN DE UN MODELO SEMI-ESTRUCTURAL</w:t>
      </w:r>
    </w:p>
    <w:p w14:paraId="455D00AD" w14:textId="1EFFD82E" w:rsidR="00273290" w:rsidRPr="00E548C6" w:rsidRDefault="0008347B" w:rsidP="00E548C6">
      <w:pPr>
        <w:pStyle w:val="Autores"/>
        <w:rPr>
          <w:rFonts w:asciiTheme="minorHAnsi" w:eastAsiaTheme="majorEastAsia" w:hAnsiTheme="minorHAnsi" w:cstheme="minorHAnsi"/>
          <w:sz w:val="28"/>
          <w:szCs w:val="28"/>
          <w:lang w:val="es-ES_tradnl" w:eastAsia="es-DO"/>
        </w:rPr>
      </w:pPr>
      <w:r>
        <w:rPr>
          <w:rFonts w:asciiTheme="minorHAnsi" w:eastAsiaTheme="majorEastAsia" w:hAnsiTheme="minorHAnsi" w:cstheme="minorHAnsi"/>
          <w:sz w:val="28"/>
          <w:szCs w:val="28"/>
          <w:lang w:val="es-ES_tradnl" w:eastAsia="es-DO"/>
        </w:rPr>
        <w:t>Gil León</w:t>
      </w:r>
      <w:r w:rsidR="00273290" w:rsidRPr="00E548C6">
        <w:rPr>
          <w:rFonts w:asciiTheme="minorHAnsi" w:eastAsiaTheme="majorEastAsia" w:hAnsiTheme="minorHAnsi" w:cstheme="minorHAnsi"/>
          <w:sz w:val="28"/>
          <w:szCs w:val="28"/>
          <w:lang w:val="es-ES_tradnl" w:eastAsia="es-DO"/>
        </w:rPr>
        <w:t xml:space="preserve">, </w:t>
      </w:r>
      <w:r>
        <w:rPr>
          <w:rFonts w:asciiTheme="minorHAnsi" w:eastAsiaTheme="majorEastAsia" w:hAnsiTheme="minorHAnsi" w:cstheme="minorHAnsi"/>
          <w:sz w:val="28"/>
          <w:szCs w:val="28"/>
          <w:lang w:val="es-ES_tradnl" w:eastAsia="es-DO"/>
        </w:rPr>
        <w:t>José Mauricio</w:t>
      </w:r>
    </w:p>
    <w:p w14:paraId="01A66A26" w14:textId="45574C7B" w:rsidR="00273290" w:rsidRPr="00E548C6" w:rsidRDefault="0008347B" w:rsidP="00E548C6">
      <w:pPr>
        <w:pStyle w:val="Autores"/>
        <w:rPr>
          <w:rFonts w:asciiTheme="minorHAnsi" w:eastAsiaTheme="majorEastAsia" w:hAnsiTheme="minorHAnsi" w:cstheme="minorHAnsi"/>
          <w:sz w:val="28"/>
          <w:szCs w:val="28"/>
          <w:lang w:val="es-ES_tradnl" w:eastAsia="es-DO"/>
        </w:rPr>
      </w:pPr>
      <w:r>
        <w:rPr>
          <w:rFonts w:asciiTheme="minorHAnsi" w:eastAsiaTheme="majorEastAsia" w:hAnsiTheme="minorHAnsi" w:cstheme="minorHAnsi"/>
          <w:sz w:val="28"/>
          <w:szCs w:val="28"/>
          <w:lang w:val="es-ES_tradnl" w:eastAsia="es-DO"/>
        </w:rPr>
        <w:t>Universidad Pedagógica y Tecnológica de Colombia</w:t>
      </w:r>
    </w:p>
    <w:p w14:paraId="275AC41E" w14:textId="160220F0" w:rsidR="00273290" w:rsidRPr="00E548C6" w:rsidRDefault="00C6008C" w:rsidP="00E548C6">
      <w:pPr>
        <w:pStyle w:val="Autores"/>
        <w:rPr>
          <w:rFonts w:asciiTheme="minorHAnsi" w:eastAsiaTheme="majorEastAsia" w:hAnsiTheme="minorHAnsi" w:cstheme="minorHAnsi"/>
          <w:lang w:val="es-ES_tradnl" w:eastAsia="es-DO"/>
        </w:rPr>
      </w:pPr>
      <w:hyperlink r:id="rId8" w:history="1">
        <w:r w:rsidRPr="008E0621">
          <w:rPr>
            <w:rStyle w:val="Hipervnculo"/>
            <w:rFonts w:asciiTheme="minorHAnsi" w:hAnsiTheme="minorHAnsi" w:cstheme="minorHAnsi"/>
            <w:sz w:val="28"/>
            <w:szCs w:val="28"/>
            <w:lang w:val="es-ES_tradnl"/>
          </w:rPr>
          <w:t>josemauricio.gil@uptc.edu.co</w:t>
        </w:r>
      </w:hyperlink>
      <w:r>
        <w:rPr>
          <w:rFonts w:asciiTheme="minorHAnsi" w:hAnsiTheme="minorHAnsi" w:cstheme="minorHAnsi"/>
          <w:sz w:val="28"/>
          <w:szCs w:val="28"/>
          <w:lang w:val="es-ES_tradnl"/>
        </w:rPr>
        <w:t xml:space="preserve"> </w:t>
      </w:r>
      <w:r w:rsidRPr="00E548C6">
        <w:rPr>
          <w:rFonts w:asciiTheme="minorHAnsi" w:eastAsiaTheme="majorEastAsia" w:hAnsiTheme="minorHAnsi" w:cstheme="minorHAnsi"/>
          <w:lang w:val="es-ES_tradnl" w:eastAsia="es-DO"/>
        </w:rPr>
        <w:t xml:space="preserve"> </w:t>
      </w:r>
    </w:p>
    <w:p w14:paraId="3644F551" w14:textId="77777777" w:rsidR="00273290" w:rsidRPr="00E548C6" w:rsidRDefault="00273290" w:rsidP="00273290">
      <w:pPr>
        <w:rPr>
          <w:rFonts w:asciiTheme="minorHAnsi" w:hAnsiTheme="minorHAnsi" w:cstheme="minorHAnsi"/>
          <w:lang w:val="es-CO"/>
        </w:rPr>
      </w:pPr>
    </w:p>
    <w:p w14:paraId="146927F9" w14:textId="77777777" w:rsidR="00E95D12" w:rsidRDefault="00E95D12" w:rsidP="008063A8">
      <w:pPr>
        <w:pStyle w:val="Resumen"/>
        <w:rPr>
          <w:rFonts w:asciiTheme="minorHAnsi" w:hAnsiTheme="minorHAnsi" w:cstheme="minorHAnsi"/>
          <w:smallCaps/>
          <w:sz w:val="24"/>
          <w:lang w:val="es-ES_tradnl"/>
        </w:rPr>
      </w:pPr>
    </w:p>
    <w:p w14:paraId="643023C9" w14:textId="7FCDC771" w:rsidR="00273290" w:rsidRPr="00554A60" w:rsidRDefault="0097211E" w:rsidP="008063A8">
      <w:pPr>
        <w:pStyle w:val="Resumen"/>
        <w:rPr>
          <w:rFonts w:asciiTheme="minorHAnsi" w:hAnsiTheme="minorHAnsi" w:cstheme="minorHAnsi"/>
          <w:smallCaps/>
          <w:sz w:val="24"/>
          <w:lang w:val="es-ES_tradnl"/>
        </w:rPr>
      </w:pPr>
      <w:r w:rsidRPr="00554A60">
        <w:rPr>
          <w:rFonts w:asciiTheme="minorHAnsi" w:hAnsiTheme="minorHAnsi" w:cstheme="minorHAnsi"/>
          <w:smallCaps/>
          <w:sz w:val="24"/>
          <w:lang w:val="es-ES_tradnl"/>
        </w:rPr>
        <w:t>Resumen</w:t>
      </w:r>
      <w:r w:rsidR="008F7774" w:rsidRPr="00554A60">
        <w:rPr>
          <w:rFonts w:asciiTheme="minorHAnsi" w:hAnsiTheme="minorHAnsi" w:cstheme="minorHAnsi"/>
          <w:smallCaps/>
          <w:sz w:val="24"/>
          <w:lang w:val="es-ES_tradnl"/>
        </w:rPr>
        <w:t xml:space="preserve">: </w:t>
      </w:r>
    </w:p>
    <w:p w14:paraId="6E85F2FC" w14:textId="77777777" w:rsidR="00EE70C6" w:rsidRDefault="00EE70C6" w:rsidP="008063A8">
      <w:pPr>
        <w:pStyle w:val="Resumen"/>
        <w:rPr>
          <w:rFonts w:asciiTheme="minorHAnsi" w:hAnsiTheme="minorHAnsi" w:cstheme="minorHAnsi"/>
          <w:b w:val="0"/>
          <w:i w:val="0"/>
          <w:sz w:val="22"/>
          <w:szCs w:val="22"/>
          <w:lang w:val="es-ES_tradnl"/>
        </w:rPr>
      </w:pPr>
      <w:r w:rsidRPr="00EE70C6">
        <w:rPr>
          <w:rFonts w:asciiTheme="minorHAnsi" w:hAnsiTheme="minorHAnsi" w:cstheme="minorHAnsi"/>
          <w:b w:val="0"/>
          <w:i w:val="0"/>
          <w:sz w:val="22"/>
          <w:szCs w:val="22"/>
          <w:lang w:val="es-ES_tradnl"/>
        </w:rPr>
        <w:t xml:space="preserve">Este documento analiza el ciclo económico colombiano mediante un modelo semi-estructural </w:t>
      </w:r>
      <w:proofErr w:type="spellStart"/>
      <w:r w:rsidRPr="00EE70C6">
        <w:rPr>
          <w:rFonts w:asciiTheme="minorHAnsi" w:hAnsiTheme="minorHAnsi" w:cstheme="minorHAnsi"/>
          <w:b w:val="0"/>
          <w:i w:val="0"/>
          <w:sz w:val="22"/>
          <w:szCs w:val="22"/>
          <w:lang w:val="es-ES_tradnl"/>
        </w:rPr>
        <w:t>neokeynesiano</w:t>
      </w:r>
      <w:proofErr w:type="spellEnd"/>
      <w:r w:rsidRPr="00EE70C6">
        <w:rPr>
          <w:rFonts w:asciiTheme="minorHAnsi" w:hAnsiTheme="minorHAnsi" w:cstheme="minorHAnsi"/>
          <w:b w:val="0"/>
          <w:i w:val="0"/>
          <w:sz w:val="22"/>
          <w:szCs w:val="22"/>
          <w:lang w:val="es-ES_tradnl"/>
        </w:rPr>
        <w:t xml:space="preserve"> que incorpora política fiscal y monetaria, estimado desde cero con GMM. El modelo reproduce bien el comportamiento económico y explica la caída de los tipos de interés reales frente a distintos shocks y respuestas de política monetaria. A través de simulaciones, se demuestra que pequeñas variaciones en la elasticidad de respuesta influyen significativamente en la volatilidad económica, destacando la sensibilidad de los parámetros y la pertinencia del enfoque de calibración utilizado.</w:t>
      </w:r>
    </w:p>
    <w:p w14:paraId="2A27E055" w14:textId="2D65916A" w:rsidR="00E548C6" w:rsidRDefault="0097211E" w:rsidP="008063A8">
      <w:pPr>
        <w:pStyle w:val="Resumen"/>
        <w:rPr>
          <w:rFonts w:asciiTheme="minorHAnsi" w:hAnsiTheme="minorHAnsi" w:cstheme="minorHAnsi"/>
          <w:b w:val="0"/>
          <w:i w:val="0"/>
          <w:sz w:val="22"/>
          <w:szCs w:val="22"/>
          <w:lang w:val="es-ES_tradnl"/>
        </w:rPr>
      </w:pPr>
      <w:r w:rsidRPr="00554A60">
        <w:rPr>
          <w:rFonts w:asciiTheme="minorHAnsi" w:hAnsiTheme="minorHAnsi" w:cstheme="minorHAnsi"/>
          <w:smallCaps/>
          <w:sz w:val="24"/>
          <w:lang w:val="es-ES_tradnl"/>
        </w:rPr>
        <w:t>Palabras clave</w:t>
      </w:r>
      <w:r w:rsidR="008110B9" w:rsidRPr="00554A60">
        <w:rPr>
          <w:rFonts w:asciiTheme="minorHAnsi" w:hAnsiTheme="minorHAnsi" w:cstheme="minorHAnsi"/>
          <w:smallCaps/>
          <w:sz w:val="24"/>
          <w:lang w:val="es-ES_tradnl"/>
        </w:rPr>
        <w:t xml:space="preserve">: </w:t>
      </w:r>
      <w:r w:rsidR="00EE70C6" w:rsidRPr="00EE70C6">
        <w:rPr>
          <w:rFonts w:asciiTheme="minorHAnsi" w:hAnsiTheme="minorHAnsi" w:cstheme="minorHAnsi"/>
          <w:b w:val="0"/>
          <w:i w:val="0"/>
          <w:sz w:val="22"/>
          <w:szCs w:val="22"/>
          <w:lang w:val="es-ES_tradnl"/>
        </w:rPr>
        <w:t>modelo DSGE, método de momentos generalizados, política monetaria</w:t>
      </w:r>
    </w:p>
    <w:p w14:paraId="0597EB87" w14:textId="77777777" w:rsidR="00EE70C6" w:rsidRPr="00EE70C6" w:rsidRDefault="00EE70C6" w:rsidP="008063A8">
      <w:pPr>
        <w:pStyle w:val="Resumen"/>
        <w:rPr>
          <w:rFonts w:asciiTheme="minorHAnsi" w:hAnsiTheme="minorHAnsi" w:cstheme="minorHAnsi"/>
          <w:b w:val="0"/>
          <w:i w:val="0"/>
          <w:sz w:val="22"/>
          <w:szCs w:val="22"/>
          <w:lang w:val="es-ES_tradnl"/>
        </w:rPr>
      </w:pPr>
    </w:p>
    <w:p w14:paraId="345A9D2F" w14:textId="6CC7E8FC" w:rsidR="006C15F7" w:rsidRPr="00554A60" w:rsidRDefault="00411588" w:rsidP="00E548C6">
      <w:pPr>
        <w:pStyle w:val="Resumen"/>
        <w:rPr>
          <w:rFonts w:asciiTheme="minorHAnsi" w:hAnsiTheme="minorHAnsi" w:cstheme="minorHAnsi"/>
          <w:smallCaps/>
          <w:sz w:val="24"/>
          <w:lang w:val="es-ES_tradnl"/>
        </w:rPr>
      </w:pPr>
      <w:r w:rsidRPr="00554A60">
        <w:rPr>
          <w:rFonts w:asciiTheme="minorHAnsi" w:hAnsiTheme="minorHAnsi" w:cstheme="minorHAnsi"/>
          <w:smallCaps/>
          <w:sz w:val="24"/>
          <w:lang w:val="es-ES_tradnl"/>
        </w:rPr>
        <w:t>Introduc</w:t>
      </w:r>
      <w:r w:rsidR="0097211E" w:rsidRPr="00554A60">
        <w:rPr>
          <w:rFonts w:asciiTheme="minorHAnsi" w:hAnsiTheme="minorHAnsi" w:cstheme="minorHAnsi"/>
          <w:smallCaps/>
          <w:sz w:val="24"/>
          <w:lang w:val="es-ES_tradnl"/>
        </w:rPr>
        <w:t>ción</w:t>
      </w:r>
    </w:p>
    <w:p w14:paraId="349B65F0" w14:textId="77777777" w:rsidR="00D84BC9" w:rsidRPr="00D84BC9" w:rsidRDefault="00D84BC9" w:rsidP="00D84BC9">
      <w:pPr>
        <w:jc w:val="both"/>
        <w:rPr>
          <w:rFonts w:asciiTheme="minorHAnsi" w:hAnsiTheme="minorHAnsi" w:cstheme="minorHAnsi"/>
          <w:sz w:val="22"/>
          <w:lang w:val="es-ES_tradnl"/>
        </w:rPr>
      </w:pPr>
      <w:r w:rsidRPr="00D84BC9">
        <w:rPr>
          <w:rFonts w:asciiTheme="minorHAnsi" w:hAnsiTheme="minorHAnsi" w:cstheme="minorHAnsi"/>
          <w:sz w:val="22"/>
          <w:lang w:val="es-ES_tradnl"/>
        </w:rPr>
        <w:t>Este documento aborda el impacto que tienen los parámetros de política monetaria sobre la estabilidad macroeconómica, destacando la importancia de su correcta calibración ante choques imprevistos. Uno de los principales retos al diseñar políticas es la incertidumbre que generan ciertas decisiones, especialmente cuando los parámetros se desajustan, lo que exige que las autoridades actúen con cautela debido a la imposibilidad de contar con certeza total. Para analizar estos fenómenos, se recurre a modelos macroeconómicos dinámicos, que permiten evaluar los efectos de distintos instrumentos de política.</w:t>
      </w:r>
    </w:p>
    <w:p w14:paraId="48A27477" w14:textId="77777777" w:rsidR="00D84BC9" w:rsidRPr="00D84BC9" w:rsidRDefault="00D84BC9" w:rsidP="00D84BC9">
      <w:pPr>
        <w:jc w:val="both"/>
        <w:rPr>
          <w:rFonts w:asciiTheme="minorHAnsi" w:hAnsiTheme="minorHAnsi" w:cstheme="minorHAnsi"/>
          <w:sz w:val="22"/>
          <w:lang w:val="es-ES_tradnl"/>
        </w:rPr>
      </w:pPr>
    </w:p>
    <w:p w14:paraId="1B5ACFA0" w14:textId="77777777" w:rsidR="00D84BC9" w:rsidRPr="00D84BC9" w:rsidRDefault="00D84BC9" w:rsidP="00D84BC9">
      <w:pPr>
        <w:jc w:val="both"/>
        <w:rPr>
          <w:rFonts w:asciiTheme="minorHAnsi" w:hAnsiTheme="minorHAnsi" w:cstheme="minorHAnsi"/>
          <w:sz w:val="22"/>
          <w:lang w:val="es-ES_tradnl"/>
        </w:rPr>
      </w:pPr>
      <w:r w:rsidRPr="00D84BC9">
        <w:rPr>
          <w:rFonts w:asciiTheme="minorHAnsi" w:hAnsiTheme="minorHAnsi" w:cstheme="minorHAnsi"/>
          <w:sz w:val="22"/>
          <w:lang w:val="es-ES_tradnl"/>
        </w:rPr>
        <w:t>El trabajo simula el comportamiento de la economía colombiana mediante un modelo semi-estructural que integra activamente políticas fiscal y monetaria, cuyo rasgo distintivo es que los parámetros se estiman desde cero —sin recurrir a valores tomados de la literatura— utilizando el método de momentos generalizados (GMM). Esta estrategia busca preservar la tendencia histórica de los datos, superando una limitación frecuente de otros enfoques que, al transformar las series, pueden distorsionar las respuestas de las variables endógenas frente a los shocks. Como lo indica Mao (2021), ignorar las tendencias puede conducir a estimaciones engañosas, especialmente en modelos con múltiples variables y perturbaciones.</w:t>
      </w:r>
    </w:p>
    <w:p w14:paraId="05DBF12A" w14:textId="77777777" w:rsidR="00D84BC9" w:rsidRPr="00D84BC9" w:rsidRDefault="00D84BC9" w:rsidP="00D84BC9">
      <w:pPr>
        <w:jc w:val="both"/>
        <w:rPr>
          <w:rFonts w:asciiTheme="minorHAnsi" w:hAnsiTheme="minorHAnsi" w:cstheme="minorHAnsi"/>
          <w:sz w:val="22"/>
          <w:lang w:val="es-ES_tradnl"/>
        </w:rPr>
      </w:pPr>
    </w:p>
    <w:p w14:paraId="61BF8909" w14:textId="77777777" w:rsidR="00D84BC9" w:rsidRPr="00D84BC9" w:rsidRDefault="00D84BC9" w:rsidP="00D84BC9">
      <w:pPr>
        <w:jc w:val="both"/>
        <w:rPr>
          <w:rFonts w:asciiTheme="minorHAnsi" w:hAnsiTheme="minorHAnsi" w:cstheme="minorHAnsi"/>
          <w:sz w:val="22"/>
          <w:lang w:val="es-ES_tradnl"/>
        </w:rPr>
      </w:pPr>
      <w:r w:rsidRPr="00D84BC9">
        <w:rPr>
          <w:rFonts w:asciiTheme="minorHAnsi" w:hAnsiTheme="minorHAnsi" w:cstheme="minorHAnsi"/>
          <w:sz w:val="22"/>
          <w:lang w:val="es-ES_tradnl"/>
        </w:rPr>
        <w:t xml:space="preserve">Un foco clave del estudio es el análisis del parámetro de respuesta de la política monetaria ante la inflación. Partiendo del régimen de meta de inflación del Banco de la República, se explora cómo la </w:t>
      </w:r>
      <w:r w:rsidRPr="00D84BC9">
        <w:rPr>
          <w:rFonts w:asciiTheme="minorHAnsi" w:hAnsiTheme="minorHAnsi" w:cstheme="minorHAnsi"/>
          <w:sz w:val="22"/>
          <w:lang w:val="es-ES_tradnl"/>
        </w:rPr>
        <w:lastRenderedPageBreak/>
        <w:t>tasa de interés —principal canal de transmisión monetaria según Botero et al. (2018)— reacciona frente a desviaciones del producto respecto de su nivel potencial y a expectativas de inflación, incorporando además la tasa real de interés natural promedio. Esta aproximación permite capturar el fenómeno reciente de erosión de los tipos de interés reales en Colombia.</w:t>
      </w:r>
    </w:p>
    <w:p w14:paraId="0BF901A1" w14:textId="77777777" w:rsidR="00D84BC9" w:rsidRPr="00D84BC9" w:rsidRDefault="00D84BC9" w:rsidP="00D84BC9">
      <w:pPr>
        <w:jc w:val="both"/>
        <w:rPr>
          <w:rFonts w:asciiTheme="minorHAnsi" w:hAnsiTheme="minorHAnsi" w:cstheme="minorHAnsi"/>
          <w:sz w:val="22"/>
          <w:lang w:val="es-ES_tradnl"/>
        </w:rPr>
      </w:pPr>
    </w:p>
    <w:p w14:paraId="16BDD755" w14:textId="6AC02B6B" w:rsidR="00635340" w:rsidRPr="00643883" w:rsidRDefault="00D84BC9" w:rsidP="00D84BC9">
      <w:pPr>
        <w:jc w:val="both"/>
        <w:rPr>
          <w:rFonts w:asciiTheme="minorHAnsi" w:hAnsiTheme="minorHAnsi" w:cstheme="minorHAnsi"/>
          <w:sz w:val="22"/>
          <w:lang w:val="es-ES_tradnl"/>
        </w:rPr>
      </w:pPr>
      <w:r w:rsidRPr="00D84BC9">
        <w:rPr>
          <w:rFonts w:asciiTheme="minorHAnsi" w:hAnsiTheme="minorHAnsi" w:cstheme="minorHAnsi"/>
          <w:sz w:val="22"/>
          <w:lang w:val="es-ES_tradnl"/>
        </w:rPr>
        <w:t>A través de simulaciones, se analizan distintos escenarios en los que se modifica este parámetro de respuesta de política monetaria. Se evalúa la sensibilidad del modelo ante estos cambios, observando el grado de volatilidad que experimentan los agregados económicos y la persistencia de los efectos. Los resultados muestran que la calibración del parámetro es crucial para lograr respuestas coherentes con la realidad económica colombiana, validando la pertinencia del enfoque GMM empleado.</w:t>
      </w:r>
    </w:p>
    <w:p w14:paraId="2D35CD3D" w14:textId="23C6A01A" w:rsidR="00B86D9E" w:rsidRPr="00554A60" w:rsidRDefault="00273290" w:rsidP="00E548C6">
      <w:pPr>
        <w:pStyle w:val="Resumen"/>
        <w:rPr>
          <w:rFonts w:asciiTheme="minorHAnsi" w:hAnsiTheme="minorHAnsi" w:cstheme="minorHAnsi"/>
          <w:smallCaps/>
          <w:sz w:val="24"/>
          <w:lang w:val="es-ES_tradnl"/>
        </w:rPr>
      </w:pPr>
      <w:r w:rsidRPr="00554A60">
        <w:rPr>
          <w:rFonts w:asciiTheme="minorHAnsi" w:hAnsiTheme="minorHAnsi" w:cstheme="minorHAnsi"/>
          <w:smallCaps/>
          <w:sz w:val="24"/>
          <w:lang w:val="es-ES_tradnl"/>
        </w:rPr>
        <w:t>Estado de la cuestión</w:t>
      </w:r>
    </w:p>
    <w:p w14:paraId="203998C7"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El régimen de inflación objetivo (IO) es una estrategia de política monetaria adoptada por diversos países para estabilizar los precios a mediano plazo mediante una meta explícita de inflación. El banco central establece una tasa de inflación como ancla nominal y utiliza instrumentos como la tasa de interés de corto plazo para alcanzarla. Esta estrategia permite responder con flexibilidad ante distintos shocks sin comprometer objetivos como el crecimiento o el empleo (</w:t>
      </w:r>
      <w:proofErr w:type="spellStart"/>
      <w:r w:rsidRPr="00D84BC9">
        <w:rPr>
          <w:rFonts w:asciiTheme="minorHAnsi" w:hAnsiTheme="minorHAnsi" w:cstheme="minorHAnsi"/>
          <w:b w:val="0"/>
          <w:i w:val="0"/>
          <w:sz w:val="22"/>
          <w:szCs w:val="22"/>
          <w:lang w:val="es-ES_tradnl"/>
        </w:rPr>
        <w:t>Dornbusch</w:t>
      </w:r>
      <w:proofErr w:type="spellEnd"/>
      <w:r w:rsidRPr="00D84BC9">
        <w:rPr>
          <w:rFonts w:asciiTheme="minorHAnsi" w:hAnsiTheme="minorHAnsi" w:cstheme="minorHAnsi"/>
          <w:b w:val="0"/>
          <w:i w:val="0"/>
          <w:sz w:val="22"/>
          <w:szCs w:val="22"/>
          <w:lang w:val="es-ES_tradnl"/>
        </w:rPr>
        <w:t xml:space="preserve"> et al., 2011).</w:t>
      </w:r>
    </w:p>
    <w:p w14:paraId="07FE0FE0"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Uno de los componentes clave del IO es su horizonte temporal de mediano plazo. Las políticas monetarias no afectan inmediatamente la economía real, por lo que se requiere tiempo para que las decisiones del banco central modifiquen el comportamiento de hogares y empresas. Así, en lugar de metas anuales estrictas, se opta por una trayectoria de inflación controlada en el tiempo.</w:t>
      </w:r>
    </w:p>
    <w:p w14:paraId="608D0448"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Además, el IO se diseña dentro de un marco institucional que otorga al banco central cierta flexibilidad operativa, en lugar de seguir una regla rígida. Esto incluye transparencia, reputación y credibilidad como condiciones esenciales para que las expectativas de los agentes económicos se alineen con la meta oficial (</w:t>
      </w:r>
      <w:proofErr w:type="spellStart"/>
      <w:r w:rsidRPr="00D84BC9">
        <w:rPr>
          <w:rFonts w:asciiTheme="minorHAnsi" w:hAnsiTheme="minorHAnsi" w:cstheme="minorHAnsi"/>
          <w:b w:val="0"/>
          <w:i w:val="0"/>
          <w:sz w:val="22"/>
          <w:szCs w:val="22"/>
          <w:lang w:val="es-ES_tradnl"/>
        </w:rPr>
        <w:t>Dornbusch</w:t>
      </w:r>
      <w:proofErr w:type="spellEnd"/>
      <w:r w:rsidRPr="00D84BC9">
        <w:rPr>
          <w:rFonts w:asciiTheme="minorHAnsi" w:hAnsiTheme="minorHAnsi" w:cstheme="minorHAnsi"/>
          <w:b w:val="0"/>
          <w:i w:val="0"/>
          <w:sz w:val="22"/>
          <w:szCs w:val="22"/>
          <w:lang w:val="es-ES_tradnl"/>
        </w:rPr>
        <w:t xml:space="preserve"> et al., 2011).</w:t>
      </w:r>
    </w:p>
    <w:p w14:paraId="5D620F64"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 xml:space="preserve">La estrategia surgió tras el colapso de otros esquemas como los tipos de cambio fijos. Nueva Zelanda fue el primer país en implementarlo en 1990, seguido por Canadá (1991), Reino Unido (1992), entre otros. En muchos casos, su implementación se acompañó de regímenes de tipo de cambio flexible, en coherencia con el </w:t>
      </w:r>
      <w:proofErr w:type="spellStart"/>
      <w:r w:rsidRPr="00D84BC9">
        <w:rPr>
          <w:rFonts w:asciiTheme="minorHAnsi" w:hAnsiTheme="minorHAnsi" w:cstheme="minorHAnsi"/>
          <w:b w:val="0"/>
          <w:i w:val="0"/>
          <w:sz w:val="22"/>
          <w:szCs w:val="22"/>
          <w:lang w:val="es-ES_tradnl"/>
        </w:rPr>
        <w:t>trilema</w:t>
      </w:r>
      <w:proofErr w:type="spellEnd"/>
      <w:r w:rsidRPr="00D84BC9">
        <w:rPr>
          <w:rFonts w:asciiTheme="minorHAnsi" w:hAnsiTheme="minorHAnsi" w:cstheme="minorHAnsi"/>
          <w:b w:val="0"/>
          <w:i w:val="0"/>
          <w:sz w:val="22"/>
          <w:szCs w:val="22"/>
          <w:lang w:val="es-ES_tradnl"/>
        </w:rPr>
        <w:t xml:space="preserve"> de la política monetaria. En presencia de movilidad de capitales, no es posible mantener simultáneamente un tipo de cambio fijo y una política monetaria autónoma.</w:t>
      </w:r>
    </w:p>
    <w:p w14:paraId="00942AD0"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En el IO, la tasa de interés de corto plazo actúa como principal instrumento para influir sobre la inflación y la brecha del producto. De ahí la importancia de contar con modelos que permitan evaluar la dinámica de estas relaciones.</w:t>
      </w:r>
    </w:p>
    <w:p w14:paraId="4F3B0DB5" w14:textId="77777777" w:rsidR="00D84BC9" w:rsidRPr="00D84BC9" w:rsidRDefault="00D84BC9" w:rsidP="00D84BC9">
      <w:pPr>
        <w:pStyle w:val="Resumen"/>
        <w:rPr>
          <w:rFonts w:asciiTheme="minorHAnsi" w:hAnsiTheme="minorHAnsi" w:cstheme="minorHAnsi"/>
          <w:b w:val="0"/>
          <w:i w:val="0"/>
          <w:sz w:val="22"/>
          <w:szCs w:val="22"/>
          <w:lang w:val="es-ES_tradnl"/>
        </w:rPr>
      </w:pPr>
    </w:p>
    <w:p w14:paraId="2789AFAC"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En el caso de Colombia, aunque la Constitución de 1991 estableció el mandato de mantener la estabilidad de precios, fue solo después de la crisis cambiaria y financiera de 1999 cuando se crearon las condiciones institucionales y técnicas necesarias para adoptar el régimen de IO. Desde 2001, el Banco de la República implementó metas multianuales de inflación y comenzó a intervenir con base en la diferencia entre el pronóstico y la meta oficial.</w:t>
      </w:r>
    </w:p>
    <w:p w14:paraId="7631A8B1"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 xml:space="preserve">El IO se consolidó como ancla nominal después de que fracasaran otros enfoques, como los objetivos monetarios, que requerían un control estricto de la oferta de dinero y una relación estable </w:t>
      </w:r>
      <w:r w:rsidRPr="00D84BC9">
        <w:rPr>
          <w:rFonts w:asciiTheme="minorHAnsi" w:hAnsiTheme="minorHAnsi" w:cstheme="minorHAnsi"/>
          <w:b w:val="0"/>
          <w:i w:val="0"/>
          <w:sz w:val="22"/>
          <w:szCs w:val="22"/>
          <w:lang w:val="es-ES_tradnl"/>
        </w:rPr>
        <w:lastRenderedPageBreak/>
        <w:t>entre ésta y la inflación. Sin embargo, la inestabilidad de la demanda de dinero, derivada de innovaciones financieras, obligó a buscar una alternativa más robusta y adaptada al contexto económico global.</w:t>
      </w:r>
    </w:p>
    <w:p w14:paraId="23B56493"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El funcionamiento del régimen implica tres pasos básicos: 1) pronosticar la inflación futura, 2) compararla con la meta y 3) ajustar los instrumentos de política según la diferencia. Las metas pueden establecerse como rangos o valores puntuales, pero suelen ser de un solo dígito. Esta estructura proporciona una combinación de reglas y discrecionalidad que permite manejar múltiples objetivos.</w:t>
      </w:r>
    </w:p>
    <w:p w14:paraId="33DA8389" w14:textId="77777777" w:rsidR="00D84BC9" w:rsidRP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 xml:space="preserve">Para implementar el IO, </w:t>
      </w:r>
      <w:proofErr w:type="spellStart"/>
      <w:r w:rsidRPr="00D84BC9">
        <w:rPr>
          <w:rFonts w:asciiTheme="minorHAnsi" w:hAnsiTheme="minorHAnsi" w:cstheme="minorHAnsi"/>
          <w:b w:val="0"/>
          <w:i w:val="0"/>
          <w:sz w:val="22"/>
          <w:szCs w:val="22"/>
          <w:lang w:val="es-ES_tradnl"/>
        </w:rPr>
        <w:t>Hammond</w:t>
      </w:r>
      <w:proofErr w:type="spellEnd"/>
      <w:r w:rsidRPr="00D84BC9">
        <w:rPr>
          <w:rFonts w:asciiTheme="minorHAnsi" w:hAnsiTheme="minorHAnsi" w:cstheme="minorHAnsi"/>
          <w:b w:val="0"/>
          <w:i w:val="0"/>
          <w:sz w:val="22"/>
          <w:szCs w:val="22"/>
          <w:lang w:val="es-ES_tradnl"/>
        </w:rPr>
        <w:t xml:space="preserve"> (2011) destaca dos condiciones básicas: independencia del banco central (aunque relativa en la práctica) y capacidad técnica y política para mantener la coherencia macroeconómica. También se requieren objetivos intermedios como: metas numéricas explícitas, transparencia informativa, modelos de pronóstico y ajustes prospectivos de política.</w:t>
      </w:r>
    </w:p>
    <w:p w14:paraId="647587B3" w14:textId="77777777" w:rsidR="00D84BC9" w:rsidRDefault="00D84BC9" w:rsidP="00D84BC9">
      <w:pPr>
        <w:pStyle w:val="Resumen"/>
        <w:rPr>
          <w:rFonts w:asciiTheme="minorHAnsi" w:hAnsiTheme="minorHAnsi" w:cstheme="minorHAnsi"/>
          <w:b w:val="0"/>
          <w:i w:val="0"/>
          <w:sz w:val="22"/>
          <w:szCs w:val="22"/>
          <w:lang w:val="es-ES_tradnl"/>
        </w:rPr>
      </w:pPr>
      <w:r w:rsidRPr="00D84BC9">
        <w:rPr>
          <w:rFonts w:asciiTheme="minorHAnsi" w:hAnsiTheme="minorHAnsi" w:cstheme="minorHAnsi"/>
          <w:b w:val="0"/>
          <w:i w:val="0"/>
          <w:sz w:val="22"/>
          <w:szCs w:val="22"/>
          <w:lang w:val="es-ES_tradnl"/>
        </w:rPr>
        <w:t xml:space="preserve">Finalmente, el régimen puede formalizarse con un sistema de ecuaciones (Pardo y Clavijo, 2018), donde la inflación presente depende de su valor esperado y la brecha del producto, y esta última responde a la tasa de interés real. En economías abiertas, el tipo de cambio se convierte en un canal esencial de transmisión de política monetaria, influyendo en la inflación vía el efecto </w:t>
      </w:r>
      <w:proofErr w:type="spellStart"/>
      <w:r w:rsidRPr="00D84BC9">
        <w:rPr>
          <w:rFonts w:asciiTheme="minorHAnsi" w:hAnsiTheme="minorHAnsi" w:cstheme="minorHAnsi"/>
          <w:b w:val="0"/>
          <w:i w:val="0"/>
          <w:sz w:val="22"/>
          <w:szCs w:val="22"/>
          <w:lang w:val="es-ES_tradnl"/>
        </w:rPr>
        <w:t>pass-through</w:t>
      </w:r>
      <w:proofErr w:type="spellEnd"/>
      <w:r w:rsidRPr="00D84BC9">
        <w:rPr>
          <w:rFonts w:asciiTheme="minorHAnsi" w:hAnsiTheme="minorHAnsi" w:cstheme="minorHAnsi"/>
          <w:b w:val="0"/>
          <w:i w:val="0"/>
          <w:sz w:val="22"/>
          <w:szCs w:val="22"/>
          <w:lang w:val="es-ES_tradnl"/>
        </w:rPr>
        <w:t>. Esto justifica la intervención del banco central cuando hay alta volatilidad cambiaria.</w:t>
      </w:r>
    </w:p>
    <w:p w14:paraId="556BF48C" w14:textId="51FCA5E8" w:rsidR="00B86D9E" w:rsidRPr="00554A60" w:rsidRDefault="00B86D9E" w:rsidP="00D84BC9">
      <w:pPr>
        <w:pStyle w:val="Resumen"/>
        <w:rPr>
          <w:rFonts w:asciiTheme="minorHAnsi" w:hAnsiTheme="minorHAnsi" w:cstheme="minorHAnsi"/>
          <w:smallCaps/>
          <w:sz w:val="24"/>
          <w:lang w:val="es-ES_tradnl"/>
        </w:rPr>
      </w:pPr>
      <w:r w:rsidRPr="00554A60">
        <w:rPr>
          <w:rFonts w:asciiTheme="minorHAnsi" w:hAnsiTheme="minorHAnsi" w:cstheme="minorHAnsi"/>
          <w:smallCaps/>
          <w:sz w:val="24"/>
          <w:lang w:val="es-ES_tradnl"/>
        </w:rPr>
        <w:t>Met</w:t>
      </w:r>
      <w:r w:rsidR="006B3519" w:rsidRPr="00554A60">
        <w:rPr>
          <w:rFonts w:asciiTheme="minorHAnsi" w:hAnsiTheme="minorHAnsi" w:cstheme="minorHAnsi"/>
          <w:smallCaps/>
          <w:sz w:val="24"/>
          <w:lang w:val="es-ES_tradnl"/>
        </w:rPr>
        <w:t>odología</w:t>
      </w:r>
    </w:p>
    <w:p w14:paraId="360AFF2D" w14:textId="77777777" w:rsidR="00587FDF" w:rsidRPr="00A85F2B" w:rsidRDefault="00587FDF" w:rsidP="00E548C6">
      <w:pPr>
        <w:pStyle w:val="Resumen"/>
        <w:rPr>
          <w:rFonts w:ascii="Calibri" w:hAnsi="Calibri" w:cs="Calibri"/>
          <w:b w:val="0"/>
          <w:i w:val="0"/>
          <w:sz w:val="22"/>
          <w:szCs w:val="22"/>
          <w:lang w:val="es-ES_tradnl"/>
        </w:rPr>
      </w:pPr>
      <w:r w:rsidRPr="00A85F2B">
        <w:rPr>
          <w:rFonts w:ascii="Calibri" w:hAnsi="Calibri" w:cs="Calibri"/>
          <w:b w:val="0"/>
          <w:i w:val="0"/>
          <w:sz w:val="22"/>
          <w:szCs w:val="22"/>
          <w:lang w:val="es-ES_tradnl"/>
        </w:rPr>
        <w:t xml:space="preserve">El modelo presentado sigue la estructura teórica de Galí (2015) y tiene como objetivo describir de forma simplificada el ciclo económico colombiano mediante un enfoque macroeconómico semi-estructural. Para adaptarlo al contexto nacional, se incorporan supuestos clave: los hogares tienen vida infinita, no se considera el crecimiento poblacional, y la consistencia de las políticas monetarias en el mediano y largo plazo depende de las tasas de interés de política. Asimismo, se garantiza que la inflación converge hacia su meta de largo plazo, el mercado laboral se asume perfectamente competitivo y se ignoran los costos de ajuste. Al tratarse de un modelo semi-estructural, se incluyen diversos shocks exógenos que representan las principales fuentes de fluctuación económica. </w:t>
      </w:r>
    </w:p>
    <w:p w14:paraId="3451E22B" w14:textId="5EEC28C1" w:rsidR="00587FDF" w:rsidRPr="00A85F2B" w:rsidRDefault="00587FDF" w:rsidP="00E548C6">
      <w:pPr>
        <w:pStyle w:val="Resumen"/>
        <w:rPr>
          <w:rFonts w:ascii="Calibri" w:hAnsi="Calibri" w:cs="Calibri"/>
          <w:b w:val="0"/>
          <w:i w:val="0"/>
          <w:sz w:val="22"/>
          <w:szCs w:val="22"/>
          <w:lang w:val="es-ES_tradnl"/>
        </w:rPr>
      </w:pPr>
      <w:r w:rsidRPr="00A85F2B">
        <w:rPr>
          <w:rFonts w:ascii="Calibri" w:hAnsi="Calibri" w:cs="Calibri"/>
          <w:b w:val="0"/>
          <w:i w:val="0"/>
          <w:sz w:val="22"/>
          <w:szCs w:val="22"/>
          <w:lang w:val="es-ES_tradnl"/>
        </w:rPr>
        <w:t>Estos shocks permiten identificar los canales de transmisión que afectan la economía colombiana y analizar su persistencia a lo largo del tiempo. La combinación de estos elementos proporciona una herramienta útil para entender la dinámica cíclica del país, evaluar los efectos de las políticas económicas y explorar cómo las distintas perturbaciones impactan en variables clave como la producción, la inflación y el empleo. El modelo, por tanto, ofrece un marco coherente y flexible para estudiar la economía en presencia de incertidumbre y variabilidad estructural.</w:t>
      </w:r>
    </w:p>
    <w:p w14:paraId="24DBF621" w14:textId="7A2469CF" w:rsidR="00587FDF" w:rsidRPr="00A85F2B" w:rsidRDefault="00A85F2B" w:rsidP="00587FDF">
      <w:pPr>
        <w:pStyle w:val="Descripcin"/>
        <w:rPr>
          <w:rFonts w:ascii="Calibri" w:hAnsi="Calibri" w:cs="Calibri"/>
          <w:i/>
          <w:iCs w:val="0"/>
          <w:sz w:val="22"/>
          <w:szCs w:val="22"/>
          <w:lang w:val="es-ES_tradnl"/>
        </w:rPr>
      </w:pPr>
      <w:r w:rsidRPr="00A85F2B">
        <w:rPr>
          <w:rFonts w:ascii="Calibri" w:hAnsi="Calibri" w:cs="Calibri"/>
          <w:i/>
          <w:iCs w:val="0"/>
          <w:sz w:val="22"/>
          <w:szCs w:val="22"/>
          <w:lang w:val="es-ES_tradnl"/>
        </w:rPr>
        <w:t xml:space="preserve">Tabla 1. </w:t>
      </w:r>
      <w:r w:rsidR="00587FDF" w:rsidRPr="00A85F2B">
        <w:rPr>
          <w:rFonts w:ascii="Calibri" w:hAnsi="Calibri" w:cs="Calibri"/>
          <w:i/>
          <w:iCs w:val="0"/>
          <w:sz w:val="22"/>
          <w:szCs w:val="22"/>
          <w:lang w:val="es-ES_tradnl"/>
        </w:rPr>
        <w:t>Estructura del modelo.</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319"/>
        <w:gridCol w:w="6018"/>
      </w:tblGrid>
      <w:tr w:rsidR="00587FDF" w:rsidRPr="00A85F2B" w14:paraId="71A4D7E1" w14:textId="77777777" w:rsidTr="00E37438">
        <w:tc>
          <w:tcPr>
            <w:tcW w:w="9337" w:type="dxa"/>
            <w:gridSpan w:val="2"/>
            <w:tcBorders>
              <w:left w:val="nil"/>
              <w:right w:val="nil"/>
            </w:tcBorders>
          </w:tcPr>
          <w:p w14:paraId="257E197F" w14:textId="77777777" w:rsidR="00587FDF" w:rsidRPr="00A85F2B" w:rsidRDefault="00587FDF" w:rsidP="00E37438">
            <w:pPr>
              <w:jc w:val="center"/>
              <w:rPr>
                <w:rFonts w:ascii="Calibri" w:hAnsi="Calibri" w:cs="Calibri"/>
                <w:sz w:val="22"/>
                <w:lang w:val="es-ES_tradnl"/>
              </w:rPr>
            </w:pPr>
            <w:r w:rsidRPr="00A85F2B">
              <w:rPr>
                <w:rFonts w:ascii="Calibri" w:hAnsi="Calibri" w:cs="Calibri"/>
                <w:sz w:val="22"/>
                <w:lang w:val="es-ES_tradnl"/>
              </w:rPr>
              <w:t>Dinámica de las ecuaciones en log-desviaciones del modelo</w:t>
            </w:r>
          </w:p>
        </w:tc>
      </w:tr>
      <w:tr w:rsidR="00587FDF" w:rsidRPr="00A85F2B" w14:paraId="5EB43A34" w14:textId="77777777" w:rsidTr="00E37438">
        <w:tc>
          <w:tcPr>
            <w:tcW w:w="3319" w:type="dxa"/>
            <w:tcBorders>
              <w:left w:val="nil"/>
            </w:tcBorders>
          </w:tcPr>
          <w:p w14:paraId="5BFABC29" w14:textId="355FCFD5"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Brecha del producto</w:t>
            </w:r>
          </w:p>
        </w:tc>
        <w:tc>
          <w:tcPr>
            <w:tcW w:w="6018" w:type="dxa"/>
            <w:tcBorders>
              <w:right w:val="nil"/>
            </w:tcBorders>
          </w:tcPr>
          <w:p w14:paraId="3D11609D"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42024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alt="" style="width:295.35pt;height:1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127D&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8127D&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Î_&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Î´&lt;/m:t&gt;&lt;/m:r&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acc&gt;&lt;m:accPr&gt;&lt;m:chr m:val=&quot;Ì…&quot;/&gt;&lt;m:ctrlPr&gt;&lt;w:rPr&gt;&lt;w:rFonts w:ascii=&quot;Cambria Math&quot; w:h-ansi=&quot;Cambria Math&quot; w:cs=&quot;Calibri Light&quot;/&gt;&lt;wx:font wx:val=&quot;Cambria Math&quot;/&gt;&lt;w:i/&gt;&lt;w:lang w:val=&quot;ES-TRAD&quot;/&gt;&lt;/w:rPr&gt;&lt;/m:ctrlPr&gt;&lt;/m:accPr&gt;&lt;m:e&gt;&lt;m:r&gt;&lt;w:rPr&gt;&lt;w:rFonts w:ascii=&quot;Cambria Math&quot; w:h-ansi=&quot;Cambria Math&quot; w:cs=&quot;Calibri Light&quot;/&gt;&lt;wx:font wx:val=&quot;Cambria Math&quot;/&gt;&lt;w:i/&gt;&lt;w:lang w:val=&quot;ES-TRAD&quot;/&gt;&lt;/w:rPr&gt;&lt;m:t&gt;r&lt;/m:t&gt;&lt;/m:r&gt;&lt;/m:e&gt;&lt;/m:acc&gt;&lt;/m:e&gt;&lt;/m:d&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q&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x&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x,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ti&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f&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f&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y,t&lt;/m:t&gt;&lt;/m:r&gt;&lt;m:ctrlPr&gt;&lt;w:rPr&gt;&lt;w:rFonts w:ascii=&quot;Cambria Math&quot; w:h-ansi=&quot;Cambria Math&quot; w:cs=&quot;Calibri Light&quot;/&gt;&lt;wx:font wx:val=&quot;Cambria Math&quot;/&gt;&lt;w:lang w:val=&quot;ES-TRAD&quot;/&gt;&lt;/w:rPr&gt;&lt;/m:ctrlP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9" o:title="" chromakey="white"/>
                </v:shape>
              </w:pict>
            </w:r>
          </w:p>
        </w:tc>
      </w:tr>
      <w:tr w:rsidR="00587FDF" w:rsidRPr="00A85F2B" w14:paraId="55799DEE" w14:textId="77777777" w:rsidTr="00E37438">
        <w:tc>
          <w:tcPr>
            <w:tcW w:w="3319" w:type="dxa"/>
            <w:tcBorders>
              <w:left w:val="nil"/>
            </w:tcBorders>
            <w:vAlign w:val="center"/>
          </w:tcPr>
          <w:p w14:paraId="4329CE8F" w14:textId="250BB8FB"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Inflación</w:t>
            </w:r>
          </w:p>
        </w:tc>
        <w:tc>
          <w:tcPr>
            <w:tcW w:w="6018" w:type="dxa"/>
            <w:tcBorders>
              <w:right w:val="nil"/>
            </w:tcBorders>
          </w:tcPr>
          <w:p w14:paraId="35E60C7B"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29EA1D29">
                <v:shape id="_x0000_i1186" type="#_x0000_t75" alt="" style="width:262.3pt;height: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487&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57487&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f&gt;&lt;m:fPr&gt;&lt;m:ctrlPr&gt;&lt;w:rPr&gt;&lt;w:rFonts w:ascii=&quot;Cambria Math&quot; w:h-ansi=&quot;Cambria Math&quot; w:cs=&quot;Calibri Light&quot;/&gt;&lt;wx:font wx:val=&quot;Cambria Math&quot;/&gt;&lt;w:i/&gt;&lt;w:lang w:val=&quot;ES-TRAD&quot;/&gt;&lt;/w:rPr&gt;&lt;/m:ctrlPr&gt;&lt;/m:fPr&gt;&lt;m:num&gt;&lt;m:r&gt;&lt;w:rPr&gt;&lt;w:rFonts w:ascii=&quot;Cambria Math&quot; w:h-ansi=&quot;Cambria Math&quot; w:cs=&quot;Calibri Light&quot;/&gt;&lt;wx:font wx:val=&quot;Cambria Math&quot;/&gt;&lt;w:i/&gt;&lt;w:lang w:val=&quot;ES-TRAD&quot;/&gt;&lt;/w:rPr&gt;&lt;m:t&gt;1&lt;/m:t&gt;&lt;/m:r&gt;&lt;/m:num&gt;&lt;m:den&gt;&lt;m:r&gt;&lt;w:rPr&gt;&lt;w:rFonts w:ascii=&quot;Cambria Math&quot; w:h-ansi=&quot;Cambria Math&quot; w:cs=&quot;Calibri Light&quot;/&gt;&lt;wx:font wx:val=&quot;Cambria Math&quot;/&gt;&lt;w:i/&gt;&lt;w:lang w:val=&quot;ES-TRAD&quot;/&gt;&lt;/w:rPr&gt;&lt;m:t&gt;1-ÏÅ&lt;/m:t&gt;&lt;/m:r&gt;&lt;/m:den&gt;&lt;/m:f&gt;&lt;m:d&gt;&lt;m:dPr&gt;&lt;m:begChr m:val=&quot;[&quot;/&gt;&lt;m:endChr m:val=&quot;]&quot;/&gt;&lt;m:ctrlPr&gt;&lt;w:rPr&gt;&lt;w:rFonts w:ascii=&quot;Cambria Math&quot; w:h-ansi=&quot;Cambria Math&quot; w:cs=&quot;Calibri Light&quot;/&gt;&lt;wx:font wx:val=&quot;Cambria Math&quot;/&gt;&lt;w:i/&gt;&lt;w:lang w:val=&quot;ES-TRAD&quot;/&gt;&lt;/w:rPr&gt;&lt;/m:ctrlPr&gt;&lt;/m:dPr&gt;&lt;m:e&gt;&lt;m:d&gt;&lt;m:dPr&gt;&lt;m:ctrlPr&gt;&lt;w:rPr&gt;&lt;w:rFonts w:ascii=&quot;Cambria Math&quot; w:h-ansi=&quot;Cambria Math&quot; w:cs=&quot;Calibri Light&quot;/&gt;&lt;wx:font wx:val=&quot;Cambria Math&quot;/&gt;&lt;w:i/&gt;&lt;w:lang w:val=&quot;ES-TRAD&quot;/&gt;&lt;/w:rPr&gt;&lt;/m:ctrlPr&gt;&lt;/m:dPr&gt;&lt;m:e&gt;&lt;m:r&gt;&lt;w:rPr&gt;&lt;w:rFonts w:ascii=&quot;Cambria Math&quot; w:h-ansi=&quot;Cambria Math&quot; w:cs=&quot;Calibri Light&quot;/&gt;&lt;wx:font wx:val=&quot;Cambria Math&quot;/&gt;&lt;w:i/&gt;&lt;w:lang w:val=&quot;ES-TRAD&quot;/&gt;&lt;/w:rPr&gt;&lt;m:t&gt;1-Î_&lt;/m:t&gt;&lt;/m:r&gt;&lt;/m:e&gt;&lt;/m:d&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Î_&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lt;/m:t&gt;&lt;/m:r&gt;&lt;/m:e&gt;&lt;m:sub&gt;&lt;m:r&gt;&lt;w:rPr&gt;&lt;w:rFonts w:ascii=&quot;Cambria Math&quot; w:h-ansi=&quot;Cambria Math&quot; w:cs=&quot;Calibri Light&quot;/&gt;&lt;wx:font wx:val=&quot;Cambria Math&quot;/&gt;&lt;w:i/&gt;&lt;w:lang w:val=&quot;ES-TRAD&quot;/&gt;&lt;/w:rPr&gt;&lt;m:t&gt;t&lt;/m:t&gt;&lt;/m:r&gt;&lt;/m:sub&gt;&lt;/m:sSub&gt;&lt;m:d&gt;&lt;m:dPr&gt;&lt;m:begChr m:val=&quot;[&quot;/&gt;&lt;m:endChr m:val=&quot;]&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1&lt;/m:t&gt;&lt;/m:r&gt;&lt;/m:sub&gt;&lt;/m:sSub&gt;&lt;/m:e&gt;&lt;/m:d&gt;&lt;m:r&gt;&lt;w:rPr&gt;&lt;w:rFonts w:ascii=&quot;Cambria Math&quot; w:h-ansi=&quot;Cambria Math&quot; w:cs=&quot;Calibri Light&quot;/&gt;&lt;wx:font wx:val=&quot;Cambria Math&quot;/&gt;&lt;w:i/&gt;&lt;w:lang w:val=&quot;ES-TRAD&quot;/&gt;&lt;/w:rPr&gt;&lt;m:t&gt;+Îº&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ÏÅ&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e&gt;&lt;/m:d&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p,t&lt;/m:t&gt;&lt;/m:r&gt;&lt;m:ctrlPr&gt;&lt;w:rPr&gt;&lt;w:rFonts w:ascii=&quot;Cambria Math&quot; w:h-ansi=&quot;Cambria Math&quot; w:cs=&quot;Calibri Light&quot;/&gt;&lt;wx:font wx:val=&quot;Cambria Math&quot;/&gt;&lt;w:lang w:val=&quot;ES-TRAD&quot;/&gt;&lt;/w:rPr&gt;&lt;/m:ctrlP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 o:title="" chromakey="white"/>
                </v:shape>
              </w:pict>
            </w:r>
          </w:p>
        </w:tc>
      </w:tr>
      <w:tr w:rsidR="00587FDF" w:rsidRPr="00A85F2B" w14:paraId="4A4C9060" w14:textId="77777777" w:rsidTr="00E37438">
        <w:tc>
          <w:tcPr>
            <w:tcW w:w="3319" w:type="dxa"/>
            <w:tcBorders>
              <w:left w:val="nil"/>
            </w:tcBorders>
          </w:tcPr>
          <w:p w14:paraId="35AC85BC" w14:textId="45AE1FFD"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Regla de Taylor</w:t>
            </w:r>
            <w:r w:rsidRPr="00A85F2B">
              <w:rPr>
                <w:rFonts w:ascii="Calibri" w:hAnsi="Calibri" w:cs="Calibri"/>
                <w:sz w:val="22"/>
                <w:lang w:val="es-ES_tradnl"/>
              </w:rPr>
              <w:t xml:space="preserve"> (tasa de interés)</w:t>
            </w:r>
          </w:p>
        </w:tc>
        <w:tc>
          <w:tcPr>
            <w:tcW w:w="6018" w:type="dxa"/>
            <w:tcBorders>
              <w:right w:val="nil"/>
            </w:tcBorders>
          </w:tcPr>
          <w:p w14:paraId="369341B5"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237925F1">
                <v:shape id="_x0000_i1185" type="#_x0000_t75" alt="" style="width:279.9pt;height:14.7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E759E&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E759E&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d&gt;&lt;m:dPr&gt;&lt;m:ctrlPr&gt;&lt;w:rPr&gt;&lt;w:rFonts w:ascii=&quot;Cambria Math&quot; w:h-ansi=&quot;Cambria Math&quot; w:cs=&quot;Calibri Light&quot;/&gt;&lt;wx:font wx:val=&quot;Cambria Math&quot;/&gt;&lt;w:i/&gt;&lt;w:lang w:val=&quot;ES-TRAD&quot;/&gt;&lt;/w:rPr&gt;&lt;/m:ctrlPr&gt;&lt;/m:dPr&gt;&lt;m:e&gt;&lt;m:r&gt;&lt;w:rPr&gt;&lt;w:rFonts w:ascii=&quot;Cambria Math&quot; w:h-ansi=&quot;Cambria Math&quot; w:cs=&quot;Calibri Light&quot;/&gt;&lt;wx:font wx:val=&quot;Cambria Math&quot;/&gt;&lt;w:i/&gt;&lt;w:lang w:val=&quot;ES-TRAD&quot;/&gt;&lt;/w:rPr&gt;&lt;m:t&gt;1-Ï•&lt;/m:t&gt;&lt;/m:r&gt;&lt;/m:e&gt;&lt;/m:d&gt;&lt;m:d&gt;&lt;m:dPr&gt;&lt;m:begChr m:val=&quot;[&quot;/&gt;&lt;m:endChr m:val=&quot;]&quot;/&gt;&lt;m:ctrlPr&gt;&lt;w:rPr&gt;&lt;w:rFonts w:ascii=&quot;Cambria Math&quot; w:h-ansi=&quot;Cambria Math&quot; w:cs=&quot;Calibri Light&quot;/&gt;&lt;wx:font wx:val=&quot;Cambria Math&quot;/&gt;&lt;w:i/&gt;&lt;w:lang w:val=&quot;ES-TRAD&quot;/&gt;&lt;/w:rPr&gt;&lt;/m:ctrlPr&gt;&lt;/m:dPr&gt;&lt;m:e&gt;&lt;m:acc&gt;&lt;m:accPr&gt;&lt;m:chr m:val=&quot;Ì…&quot;/&gt;&lt;m:ctrlPr&gt;&lt;w:rPr&gt;&lt;w:rFonts w:ascii=&quot;Cambria Math&quot; w:h-ansi=&quot;Cambria Math&quot; w:cs=&quot;Calibri Light&quot;/&gt;&lt;wx:font wx:val=&quot;Cambria Math&quot;/&gt;&lt;w:i/&gt;&lt;w:lang w:val=&quot;ES-TRAD&quot;/&gt;&lt;/w:rPr&gt;&lt;/m:ctrlPr&gt;&lt;/m:accPr&gt;&lt;m:e&gt;&lt;m:r&gt;&lt;w:rPr&gt;&lt;w:rFonts w:ascii=&quot;Cambria Math&quot; w:h-ansi=&quot;Cambria Math&quot; w:cs=&quot;Calibri Light&quot;/&gt;&lt;wx:font wx:val=&quot;Cambria Math&quot;/&gt;&lt;w:i/&gt;&lt;w:lang w:val=&quot;ES-TRAD&quot;/&gt;&lt;/w:rPr&gt;&lt;m:t&gt;r&lt;/m:t&gt;&lt;/m:r&gt;&lt;/m:e&gt;&lt;/m:acc&gt;&lt;m:r&gt;&lt;w:rPr&gt;&lt;w:rFonts w:ascii=&quot;Cambria Math&quot; w:h-ansi=&quot;Cambria Math&quot; w:cs=&quot;Calibri Light&quot;/&gt;&lt;wx:font wx:val=&quot;Cambria Math&quot;/&gt;&lt;w:i/&gt;&lt;w:lang w:val=&quot;ES-TRAD&quot;/&gt;&lt;/w:rPr&gt;&lt;m:t&gt;+&lt;/m:t&gt;&lt;/m:r&gt;&lt;m:acc&gt;&lt;m:accPr&gt;&lt;m:chr m:val=&quot;Ì…&quot;/&gt;&lt;m:ctrlPr&gt;&lt;w:rPr&gt;&lt;w:rFonts w:ascii=&quot;Cambria Math&quot; w:h-ansi=&quot;Cambria Math&quot; w:cs=&quot;Calibri Light&quot;/&gt;&lt;wx:font wx:val=&quot;Cambria Math&quot;/&gt;&lt;w:i/&gt;&lt;w:lang w:val=&quot;ES-TRAD&quot;/&gt;&lt;/w:rPr&gt;&lt;/m:ctrlPr&gt;&lt;/m:accPr&gt;&lt;m:e&gt;&lt;m:r&gt;&lt;w:rPr&gt;&lt;w:rFonts w:ascii=&quot;Cambria Math&quot; w:h-ansi=&quot;Cambria Math&quot; w:cs=&quot;Calibri Light&quot;/&gt;&lt;wx:font wx:val=&quot;Cambria Math&quot;/&gt;&lt;w:i/&gt;&lt;w:lang w:val=&quot;ES-TRAD&quot;/&gt;&lt;/w:rPr&gt;&lt;m:t&gt;Ï€&lt;/m:t&gt;&lt;/m:r&gt;&lt;/m:e&gt;&lt;/m:acc&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lt;/m:t&gt;&lt;/m:r&gt;&lt;/m:e&gt;&lt;m:sub&gt;&lt;m:r&gt;&lt;w:rPr&gt;&lt;w:rFonts w:ascii=&quot;Cambria Math&quot; w:h-ansi=&quot;Cambria Math&quot; w:cs=&quot;Calibri Light&quot;/&gt;&lt;wx:font wx:val=&quot;Cambria Math&quot;/&gt;&lt;w:i/&gt;&lt;w:lang w:val=&quot;ES-TRAD&quot;/&gt;&lt;/w:rPr&gt;&lt;m:t&gt;Ï€&lt;/m:t&gt;&lt;/m:r&gt;&lt;/m:sub&gt;&lt;/m:sSub&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lt;/m:t&gt;&lt;/m:r&gt;&lt;/m:e&gt;&lt;m:sub&gt;&lt;m:r&gt;&lt;w:rPr&gt;&lt;w:rFonts w:ascii=&quot;Cambria Math&quot; w:h-ansi=&quot;Cambria Math&quot; w:cs=&quot;Calibri Light&quot;/&gt;&lt;wx:font wx:val=&quot;Cambria Math&quot;/&gt;&lt;w:i/&gt;&lt;w:lang w:val=&quot;ES-TRAD&quot;/&gt;&lt;/w:rPr&gt;&lt;m:t&gt;t&lt;/m:t&gt;&lt;/m:r&gt;&lt;/m:sub&gt;&lt;/m:sSub&gt;&lt;m:d&gt;&lt;m:dPr&gt;&lt;m:begChr m:val=&quot;[&quot;/&gt;&lt;m:endChr m:val=&quot;]&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1&lt;/m:t&gt;&lt;/m:r&gt;&lt;/m:sub&gt;&lt;/m:sSub&gt;&lt;/m:e&gt;&lt;/m:d&gt;&lt;m:r&gt;&lt;w:rPr&gt;&lt;w:rFonts w:ascii=&quot;Cambria Math&quot; w:h-ansi=&quot;Cambria Math&quot; w:cs=&quot;Calibri Light&quot;/&gt;&lt;wx:font wx:val=&quot;Cambria Math&quot;/&gt;&lt;w:i/&gt;&lt;w:lang w:val=&quot;ES-TRAD&quot;/&gt;&lt;/w:rPr&gt;&lt;m:t&gt;-&lt;/m:t&gt;&lt;/m:r&gt;&lt;m:acc&gt;&lt;m:accPr&gt;&lt;m:chr m:val=&quot;Ì…&quot;/&gt;&lt;m:ctrlPr&gt;&lt;w:rPr&gt;&lt;w:rFonts w:ascii=&quot;Cambria Math&quot; w:h-ansi=&quot;Cambria Math&quot; w:cs=&quot;Calibri Light&quot;/&gt;&lt;wx:font wx:val=&quot;Cambria Math&quot;/&gt;&lt;w:i/&gt;&lt;w:lang w:val=&quot;ES-TRAD&quot;/&gt;&lt;/w:rPr&gt;&lt;/m:ctrlPr&gt;&lt;/m:accPr&gt;&lt;m:e&gt;&lt;m:r&gt;&lt;w:rPr&gt;&lt;w:rFonts w:ascii=&quot;Cambria Math&quot; w:h-ansi=&quot;Cambria Math&quot; w:cs=&quot;Calibri Light&quot;/&gt;&lt;wx:font wx:val=&quot;Cambria Math&quot;/&gt;&lt;w:i/&gt;&lt;w:lang w:val=&quot;ES-TRAD&quot;/&gt;&lt;/w:rPr&gt;&lt;m:t&gt;Ï€&lt;/m:t&gt;&lt;/m:r&gt;&lt;/m:e&gt;&lt;/m:acc&gt;&lt;/m:e&gt;&lt;/m:d&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lt;/m:t&gt;&lt;/m:r&gt;&lt;/m:e&gt;&lt;m:sub&gt;&lt;m:r&gt;&lt;w:rPr&gt;&lt;w:rFonts w:ascii=&quot;Cambria Math&quot; w:h-ansi=&quot;Cambria Math&quot; w:cs=&quot;Calibri Light&quot;/&gt;&lt;wx:font wx:val=&quot;Cambria Math&quot;/&gt;&lt;w:i/&gt;&lt;w:lang w:val=&quot;ES-TRAD&quot;/&gt;&lt;/w:rPr&gt;&lt;m:t&gt;y&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e&gt;&lt;/m:d&gt;&lt;m:r&gt;&lt;w:rPr&gt;&lt;w:rFonts w:ascii=&quot;Cambria Math&quot; w:fareast=&quot;Times New Roman&quot; w:h-ansi=&quot;Cambria Math&quot; w:cs=&quot;Calibri Light&quot;/&gt;&lt;wx:font wx:val=&quot;Cambria Math&quot;/&gt;&lt;w:i/&gt;&lt;w:lang w:val=&quot;ES-TRAD&quot;/&gt;&lt;/w:rPr&gt;&lt;m:t&gt;+&lt;/m:t&gt;&lt;/m:r&gt;&lt;m:r&gt;&lt;w:rPr&gt;&lt;w:rFonts w:ascii=&quot;Cambria Math&quot; w:h-ansi=&quot;Cambria Math&quot; w:cs=&quot;Calibri Light&quot;/&gt;&lt;wx:font wx:val=&quot;Cambria Math&quot;/&gt;&lt;w:i/&gt;&lt;w:lang w:val=&quot;ES-TRAD&quot;/&gt;&lt;/w:rPr&gt;&lt;m:t&gt;Ï•&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fareast=&quot;Times New Roman&quot; w:h-ansi=&quot;Cambria Math&quot; w:cs=&quot;Calibri Light&quot;/&gt;&lt;wx:font wx:val=&quot;Cambria Math&quot;/&gt;&lt;w:i/&gt;&lt;w:lang w:val=&quot;ES-TRAD&quot;/&gt;&lt;/w:rPr&gt;&lt;m:t&gt;+&lt;/m:t&gt;&lt;/m:r&gt;&lt;m:sSub&gt;&lt;m:sSubPr&gt;&lt;m:ctrlPr&gt;&lt;w:rPr&gt;&lt;w:rFonts w:ascii=&quot;Cambria Math&quot; w:fareast=&quot;Times New Roman&quot; w:h-ansi=&quot;Cambria Math&quot; w:cs=&quot;Calibri Light&quot;/&gt;&lt;wx:font wx:val=&quot;Cambria Math&quot;/&gt;&lt;w:i/&gt;&lt;w:lang w:val=&quot;ES-TRAD&quot;/&gt;&lt;/w:rPr&gt;&lt;/m:ctrlPr&gt;&lt;/m:sSubPr&gt;&lt;m:e&gt;&lt;m:r&gt;&lt;w:rPr&gt;&lt;w:rFonts w:ascii=&quot;Cambria Math&quot; w:fareast=&quot;Times New Roman&quot; w:h-ansi=&quot;Cambria Math&quot; w:cs=&quot;Calibri Light&quot;/&gt;&lt;wx:font wx:val=&quot;Cambria Math&quot;/&gt;&lt;w:i/&gt;&lt;w:lang w:val=&quot;ES-TRAD&quot;/&gt;&lt;/w:rPr&gt;&lt;m:t&gt;u&lt;/m:t&gt;&lt;/m:r&gt;&lt;/m:e&gt;&lt;m:sub&gt;&lt;m:r&gt;&lt;w:rPr&gt;&lt;w:rFonts w:ascii=&quot;Cambria Math&quot; w:fareast=&quot;Times New Roman&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1" o:title="" chromakey="white"/>
                </v:shape>
              </w:pict>
            </w:r>
          </w:p>
        </w:tc>
      </w:tr>
      <w:tr w:rsidR="00587FDF" w:rsidRPr="00A85F2B" w14:paraId="4CDCEBE4" w14:textId="77777777" w:rsidTr="00E37438">
        <w:tc>
          <w:tcPr>
            <w:tcW w:w="3319" w:type="dxa"/>
            <w:tcBorders>
              <w:left w:val="nil"/>
            </w:tcBorders>
          </w:tcPr>
          <w:p w14:paraId="764B819F"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Tasa de interés real</w:t>
            </w:r>
          </w:p>
        </w:tc>
        <w:tc>
          <w:tcPr>
            <w:tcW w:w="6018" w:type="dxa"/>
            <w:tcBorders>
              <w:right w:val="nil"/>
            </w:tcBorders>
          </w:tcPr>
          <w:p w14:paraId="49B8AD4B"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208994DB">
                <v:shape id="_x0000_i1184" type="#_x0000_t75" alt="" style="width:85.2pt;height:11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4C6D&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D4C6D&quot;&gt;&lt;m:oMathPara&gt;&lt;m:oMath&gt;&lt;m:sSub&gt;&lt;m:sSubPr&gt;&lt;m:ctrlPr&gt;&lt;w:rPr&gt;&lt;w:rFonts w:ascii=&quot;Cambria Math&quot; w:fareast=&quot;Times New Roman&quot; w:h-ansi=&quot;Cambria Math&quot; w:cs=&quot;Calibri Light&quot;/&gt;&lt;wx:font wx:val=&quot;Cambria Math&quot;/&gt;&lt;w:i/&gt;&lt;w:lang w:val=&quot;ES-TRAD&quot;/&gt;&lt;/w:rPr&gt;&lt;/m:ctrlPr&gt;&lt;/m:sSubPr&gt;&lt;m:e&gt;&lt;m:r&gt;&lt;w:rPr&gt;&lt;w:rFonts w:ascii=&quot;Cambria Math&quot; w:fareast=&quot;Times New Roman&quot; w:h-ansi=&quot;Cambria Math&quot; w:cs=&quot;Calibri Light&quot;/&gt;&lt;wx:font wx:val=&quot;Cambria Math&quot;/&gt;&lt;w:i/&gt;&lt;w:lang w:val=&quot;ES-TRAD&quot;/&gt;&lt;/w:rPr&gt;&lt;m:t&gt;r&lt;/m:t&gt;&lt;/m:r&gt;&lt;/m:e&gt;&lt;m:sub&gt;&lt;m:r&gt;&lt;w:rPr&gt;&lt;w:rFonts w:ascii=&quot;Cambria Math&quot; w:fareast=&quot;Times New Roman&quot; w:h-ansi=&quot;Cambria Math&quot; w:cs=&quot;Calibri Light&quot;/&gt;&lt;wx:font wx:val=&quot;Cambria Math&quot;/&gt;&lt;w:i/&gt;&lt;w:lang w:val=&quot;ES-TRAD&quot;/&gt;&lt;/w:rPr&gt;&lt;m:t&gt;t&lt;/m:t&gt;&lt;/m:r&gt;&lt;/m:sub&gt;&lt;/m:sSub&gt;&lt;m:r&gt;&lt;w:rPr&gt;&lt;w:rFonts w:ascii=&quot;Cambria Math&quot; w:fareast=&quot;Times New Roman&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lt;/m:t&gt;&lt;/m:r&gt;&lt;/m:e&gt;&lt;m:sub&gt;&lt;m:r&gt;&lt;w:rPr&gt;&lt;w:rFonts w:ascii=&quot;Cambria Math&quot; w:h-ansi=&quot;Cambria Math&quot; w:cs=&quot;Calibri Light&quot;/&gt;&lt;wx:font wx:val=&quot;Cambria Math&quot;/&gt;&lt;w:i/&gt;&lt;w:lang w:val=&quot;ES-TRAD&quot;/&gt;&lt;/w:rPr&gt;&lt;m:t&gt;t&lt;/m:t&gt;&lt;/m:r&gt;&lt;/m:sub&gt;&lt;/m:sSub&gt;&lt;m:d&gt;&lt;m:dPr&gt;&lt;m:begChr m:val=&quot;[&quot;/&gt;&lt;m:endChr m:val=&quot;]&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1&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2" o:title="" chromakey="white"/>
                </v:shape>
              </w:pict>
            </w:r>
          </w:p>
        </w:tc>
      </w:tr>
      <w:tr w:rsidR="00587FDF" w:rsidRPr="00A85F2B" w14:paraId="237F90AD" w14:textId="77777777" w:rsidTr="00E37438">
        <w:tc>
          <w:tcPr>
            <w:tcW w:w="3319" w:type="dxa"/>
            <w:tcBorders>
              <w:left w:val="nil"/>
            </w:tcBorders>
          </w:tcPr>
          <w:p w14:paraId="525254E8" w14:textId="10D56A41"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Depreciación nominal</w:t>
            </w:r>
            <w:r w:rsidRPr="00A85F2B">
              <w:rPr>
                <w:rFonts w:ascii="Calibri" w:hAnsi="Calibri" w:cs="Calibri"/>
                <w:sz w:val="22"/>
                <w:lang w:val="es-ES_tradnl"/>
              </w:rPr>
              <w:t xml:space="preserve"> de la moneda</w:t>
            </w:r>
            <w:r w:rsidRPr="00A85F2B">
              <w:rPr>
                <w:rFonts w:ascii="Calibri" w:hAnsi="Calibri" w:cs="Calibri"/>
                <w:sz w:val="22"/>
                <w:lang w:val="es-ES_tradnl"/>
              </w:rPr>
              <w:t xml:space="preserve"> </w:t>
            </w:r>
          </w:p>
        </w:tc>
        <w:tc>
          <w:tcPr>
            <w:tcW w:w="6018" w:type="dxa"/>
            <w:tcBorders>
              <w:right w:val="nil"/>
            </w:tcBorders>
          </w:tcPr>
          <w:p w14:paraId="3B902245"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47BE2302">
                <v:shape id="_x0000_i1183" type="#_x0000_t75" alt="" style="width:260.1pt;height:13.2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8A&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E638A&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0&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1&lt;/m:t&gt;&lt;/m:r&gt;&lt;/m:sub&gt;&lt;/m:sSub&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x,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e&gt;&lt;/m:d&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2&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3&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lt;/m:t&gt;&lt;/m:r&gt;&lt;/m:e&gt;&lt;m:sub&gt;&lt;m:r&gt;&lt;w:rPr&gt;&lt;w:rFonts w:ascii=&quot;Cambria Math&quot; w:h-ansi=&quot;Cambria Math&quot; w:cs=&quot;Calibri Light&quot;/&gt;&lt;wx:font wx:val=&quot;Cambria Math&quot;/&gt;&lt;w:i/&gt;&lt;w:lang w:val=&quot;ES-TRAD&quot;/&gt;&lt;/w:rPr&gt;&lt;m:t&gt;t&lt;/m:t&gt;&lt;/m:r&gt;&lt;/m:sub&gt;&lt;/m:sSub&gt;&lt;m:d&gt;&lt;m:dPr&gt;&lt;m:begChr m:val=&quot;[&quot;/&gt;&lt;m:endChr m:val=&quot;]&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1&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3" o:title="" chromakey="white"/>
                </v:shape>
              </w:pict>
            </w:r>
          </w:p>
        </w:tc>
      </w:tr>
      <w:tr w:rsidR="00587FDF" w:rsidRPr="00A85F2B" w14:paraId="075C51E6" w14:textId="77777777" w:rsidTr="00E37438">
        <w:tc>
          <w:tcPr>
            <w:tcW w:w="3319" w:type="dxa"/>
            <w:tcBorders>
              <w:left w:val="nil"/>
            </w:tcBorders>
          </w:tcPr>
          <w:p w14:paraId="6FDE0DFE" w14:textId="2907B28B"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Depreciación real</w:t>
            </w:r>
            <w:r w:rsidRPr="00A85F2B">
              <w:rPr>
                <w:rFonts w:ascii="Calibri" w:hAnsi="Calibri" w:cs="Calibri"/>
                <w:sz w:val="22"/>
                <w:lang w:val="es-ES_tradnl"/>
              </w:rPr>
              <w:t xml:space="preserve"> de la moneda</w:t>
            </w:r>
          </w:p>
        </w:tc>
        <w:tc>
          <w:tcPr>
            <w:tcW w:w="6018" w:type="dxa"/>
            <w:tcBorders>
              <w:right w:val="nil"/>
            </w:tcBorders>
          </w:tcPr>
          <w:p w14:paraId="34CBBE9D"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3518050E">
                <v:shape id="_x0000_i1182" type="#_x0000_t75" alt="" style="width:88.9pt;height:11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4F46&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A4F46&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x&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 o:title="" chromakey="white"/>
                </v:shape>
              </w:pict>
            </w:r>
          </w:p>
        </w:tc>
      </w:tr>
      <w:tr w:rsidR="00587FDF" w:rsidRPr="00A85F2B" w14:paraId="5A828546" w14:textId="77777777" w:rsidTr="00E37438">
        <w:tc>
          <w:tcPr>
            <w:tcW w:w="3319" w:type="dxa"/>
            <w:tcBorders>
              <w:left w:val="nil"/>
            </w:tcBorders>
          </w:tcPr>
          <w:p w14:paraId="7BBE9541" w14:textId="7C8D4CDC"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lastRenderedPageBreak/>
              <w:t>Prima de riesgo</w:t>
            </w:r>
            <w:r w:rsidRPr="00A85F2B">
              <w:rPr>
                <w:rFonts w:ascii="Calibri" w:hAnsi="Calibri" w:cs="Calibri"/>
                <w:sz w:val="22"/>
                <w:lang w:val="es-ES_tradnl"/>
              </w:rPr>
              <w:t xml:space="preserve"> país</w:t>
            </w:r>
          </w:p>
        </w:tc>
        <w:tc>
          <w:tcPr>
            <w:tcW w:w="6018" w:type="dxa"/>
            <w:tcBorders>
              <w:right w:val="nil"/>
            </w:tcBorders>
          </w:tcPr>
          <w:p w14:paraId="5970E15D"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4AF250FB">
                <v:shape id="_x0000_i1181" type="#_x0000_t75" alt="" style="width:73.45pt;height:11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9767A&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9767A&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acc&gt;&lt;m:accPr&gt;&lt;m:chr m:val=&quot;Ì…&quot;/&gt;&lt;m:ctrlPr&gt;&lt;w:rPr&gt;&lt;w:rFonts w:ascii=&quot;Cambria Math&quot; w:h-ansi=&quot;Cambria Math&quot; w:cs=&quot;Calibri Light&quot;/&gt;&lt;wx:font wx:val=&quot;Cambria Math&quot;/&gt;&lt;w:i/&gt;&lt;w:lang w:val=&quot;ES-TRAD&quot;/&gt;&lt;/w:rPr&gt;&lt;/m:ctrlPr&gt;&lt;/m:accPr&gt;&lt;m:e&gt;&lt;m:r&gt;&lt;w:rPr&gt;&lt;w:rFonts w:ascii=&quot;Cambria Math&quot; w:h-ansi=&quot;Cambria Math&quot; w:cs=&quot;Calibri Light&quot;/&gt;&lt;wx:font wx:val=&quot;Cambria Math&quot;/&gt;&lt;w:i/&gt;&lt;w:lang w:val=&quot;ES-TRAD&quot;/&gt;&lt;/w:rPr&gt;&lt;m:t&gt;pr&lt;/m:t&gt;&lt;/m:r&gt;&lt;/m:e&gt;&lt;/m:acc&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pr&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5" o:title="" chromakey="white"/>
                </v:shape>
              </w:pict>
            </w:r>
          </w:p>
        </w:tc>
      </w:tr>
      <w:tr w:rsidR="00587FDF" w:rsidRPr="00A85F2B" w14:paraId="4E693913" w14:textId="77777777" w:rsidTr="00E37438">
        <w:tc>
          <w:tcPr>
            <w:tcW w:w="3319" w:type="dxa"/>
            <w:tcBorders>
              <w:left w:val="nil"/>
            </w:tcBorders>
          </w:tcPr>
          <w:p w14:paraId="5C3FBC20"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 xml:space="preserve">Déficit fiscal </w:t>
            </w:r>
          </w:p>
        </w:tc>
        <w:tc>
          <w:tcPr>
            <w:tcW w:w="6018" w:type="dxa"/>
            <w:tcBorders>
              <w:right w:val="nil"/>
            </w:tcBorders>
          </w:tcPr>
          <w:p w14:paraId="1420EE78"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67C53E32">
                <v:shape id="_x0000_i1180" type="#_x0000_t75" alt="" style="width:105.05pt;height:11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181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21811&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f&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lt;/m:t&gt;&lt;/m:r&gt;&lt;/m:e&gt;&lt;m:sub&gt;&lt;m:r&gt;&lt;w:rPr&gt;&lt;w:rFonts w:ascii=&quot;Cambria Math&quot; w:h-ansi=&quot;Cambria Math&quot; w:cs=&quot;Calibri Light&quot;/&gt;&lt;wx:font wx:val=&quot;Cambria Math&quot;/&gt;&lt;w:i/&gt;&lt;w:lang w:val=&quot;ES-TRAD&quot;/&gt;&lt;/w:rPr&gt;&lt;m:t&gt;o&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lt;/m:t&gt;&lt;/m:r&gt;&lt;/m:e&gt;&lt;m:sub&gt;&lt;m:r&gt;&lt;w:rPr&gt;&lt;w:rFonts w:ascii=&quot;Cambria Math&quot; w:h-ansi=&quot;Cambria Math&quot; w:cs=&quot;Calibri Light&quot;/&gt;&lt;wx:font wx:val=&quot;Cambria Math&quot;/&gt;&lt;w:i/&gt;&lt;w:lang w:val=&quot;ES-TRAD&quot;/&gt;&lt;/w:rPr&gt;&lt;m:t&gt;1&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f&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6" o:title="" chromakey="white"/>
                </v:shape>
              </w:pict>
            </w:r>
          </w:p>
        </w:tc>
      </w:tr>
      <w:tr w:rsidR="00587FDF" w:rsidRPr="00A85F2B" w14:paraId="0C9F62D1" w14:textId="77777777" w:rsidTr="00E37438">
        <w:tc>
          <w:tcPr>
            <w:tcW w:w="9337" w:type="dxa"/>
            <w:gridSpan w:val="2"/>
            <w:tcBorders>
              <w:left w:val="nil"/>
              <w:right w:val="nil"/>
            </w:tcBorders>
          </w:tcPr>
          <w:p w14:paraId="35BF72AF" w14:textId="77777777" w:rsidR="00587FDF" w:rsidRPr="00A85F2B" w:rsidRDefault="00587FDF" w:rsidP="00E37438">
            <w:pPr>
              <w:tabs>
                <w:tab w:val="left" w:pos="3288"/>
              </w:tabs>
              <w:rPr>
                <w:rFonts w:ascii="Calibri" w:hAnsi="Calibri" w:cs="Calibri"/>
                <w:sz w:val="22"/>
                <w:lang w:val="es-ES_tradnl"/>
              </w:rPr>
            </w:pPr>
            <w:r w:rsidRPr="00A85F2B">
              <w:rPr>
                <w:rFonts w:ascii="Calibri" w:hAnsi="Calibri" w:cs="Calibri"/>
                <w:sz w:val="22"/>
                <w:lang w:val="es-ES_tradnl"/>
              </w:rPr>
              <w:t>Choques autorregresivos AR (1)</w:t>
            </w:r>
          </w:p>
        </w:tc>
      </w:tr>
      <w:tr w:rsidR="00587FDF" w:rsidRPr="00A85F2B" w14:paraId="72D046B0" w14:textId="77777777" w:rsidTr="00E37438">
        <w:tc>
          <w:tcPr>
            <w:tcW w:w="3319" w:type="dxa"/>
            <w:tcBorders>
              <w:left w:val="nil"/>
            </w:tcBorders>
          </w:tcPr>
          <w:p w14:paraId="599EAB17"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de demanda</w:t>
            </w:r>
          </w:p>
        </w:tc>
        <w:tc>
          <w:tcPr>
            <w:tcW w:w="6018" w:type="dxa"/>
            <w:tcBorders>
              <w:right w:val="nil"/>
            </w:tcBorders>
            <w:vAlign w:val="center"/>
          </w:tcPr>
          <w:p w14:paraId="37166FEA"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51D6D604">
                <v:shape id="_x0000_i1179" type="#_x0000_t75" alt="" style="width:95.5pt;height:1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B738A&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B738A&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y,t&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e&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y,t-1&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7" o:title="" chromakey="white"/>
                </v:shape>
              </w:pict>
            </w:r>
          </w:p>
        </w:tc>
      </w:tr>
      <w:tr w:rsidR="00587FDF" w:rsidRPr="00A85F2B" w14:paraId="6F97F0C3" w14:textId="77777777" w:rsidTr="00E37438">
        <w:tc>
          <w:tcPr>
            <w:tcW w:w="3319" w:type="dxa"/>
            <w:tcBorders>
              <w:left w:val="nil"/>
            </w:tcBorders>
          </w:tcPr>
          <w:p w14:paraId="3B34B03E"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términos de intercambio</w:t>
            </w:r>
          </w:p>
        </w:tc>
        <w:tc>
          <w:tcPr>
            <w:tcW w:w="6018" w:type="dxa"/>
            <w:tcBorders>
              <w:right w:val="nil"/>
            </w:tcBorders>
            <w:vAlign w:val="center"/>
          </w:tcPr>
          <w:p w14:paraId="6F5A2059"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779BC630">
                <v:shape id="_x0000_i1178" type="#_x0000_t75" alt="" style="width:101.4pt;height:11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2BA7&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862BA7&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m:rPr&gt;&lt;m:sty m:val=&quot;p&quot;/&gt;&lt;/m:rPr&gt;&lt;w:rPr&gt;&lt;w:rFonts w:ascii=&quot;Cambria Math&quot; w:h-ansi=&quot;Cambria Math&quot; w:cs=&quot;Calibri Light&quot;/&gt;&lt;wx:font wx:val=&quot;Cambria Math&quot;/&gt;&lt;w:lang w:val=&quot;ES-TRAD&quot;/&gt;&lt;/w:rPr&gt;&lt;m:t&gt;Î©&lt;/m:t&gt;&lt;/m:r&gt;&lt;/m:e&gt;&lt;m:sub&gt;&lt;m:r&gt;&lt;w:rPr&gt;&lt;w:rFonts w:ascii=&quot;Cambria Math&quot; w:h-ansi=&quot;Cambria Math&quot; w:cs=&quot;Calibri Light&quot;/&gt;&lt;wx:font wx:val=&quot;Cambria Math&quot;/&gt;&lt;w:i/&gt;&lt;w:lang w:val=&quot;ES-TRAD&quot;/&gt;&lt;/w:rPr&gt;&lt;m:t&gt;ti&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ti&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µ&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p>
        </w:tc>
      </w:tr>
      <w:tr w:rsidR="00587FDF" w:rsidRPr="00A85F2B" w14:paraId="3A46A851" w14:textId="77777777" w:rsidTr="00E37438">
        <w:tc>
          <w:tcPr>
            <w:tcW w:w="3319" w:type="dxa"/>
            <w:tcBorders>
              <w:left w:val="nil"/>
            </w:tcBorders>
          </w:tcPr>
          <w:p w14:paraId="32FC618D"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económico externo</w:t>
            </w:r>
          </w:p>
        </w:tc>
        <w:tc>
          <w:tcPr>
            <w:tcW w:w="6018" w:type="dxa"/>
            <w:tcBorders>
              <w:right w:val="nil"/>
            </w:tcBorders>
            <w:vAlign w:val="center"/>
          </w:tcPr>
          <w:p w14:paraId="173729AE"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14E76C35">
                <v:shape id="_x0000_i1177" type="#_x0000_t75" alt="" style="width:109.45pt;height:1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0AAF&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F0AAF&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x,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m:rPr&gt;&lt;m:sty m:val=&quot;p&quot;/&gt;&lt;/m:rPr&gt;&lt;w:rPr&gt;&lt;w:rFonts w:ascii=&quot;Cambria Math&quot; w:h-ansi=&quot;Cambria Math&quot; w:cs=&quot;Calibri Light&quot;/&gt;&lt;wx:font wx:val=&quot;Cambria Math&quot;/&gt;&lt;w:lang w:val=&quot;ES-TRAD&quot;/&gt;&lt;/w:rPr&gt;&lt;m:t&gt;Î©&lt;/m:t&gt;&lt;/m:r&gt;&lt;/m:e&gt;&lt;m:sub&gt;&lt;m:r&gt;&lt;w:rPr&gt;&lt;w:rFonts w:ascii=&quot;Cambria Math&quot; w:h-ansi=&quot;Cambria Math&quot; w:cs=&quot;Calibri Light&quot;/&gt;&lt;wx:font wx:val=&quot;Cambria Math&quot;/&gt;&lt;w:i/&gt;&lt;w:lang w:val=&quot;ES-TRAD&quot;/&gt;&lt;/w:rPr&gt;&lt;m:t&gt;yx&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x,t-1&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E&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9" o:title="" chromakey="white"/>
                </v:shape>
              </w:pict>
            </w:r>
          </w:p>
        </w:tc>
      </w:tr>
      <w:tr w:rsidR="00587FDF" w:rsidRPr="00A85F2B" w14:paraId="5D55FCE9" w14:textId="77777777" w:rsidTr="00E37438">
        <w:tc>
          <w:tcPr>
            <w:tcW w:w="3319" w:type="dxa"/>
            <w:tcBorders>
              <w:left w:val="nil"/>
            </w:tcBorders>
          </w:tcPr>
          <w:p w14:paraId="43B3F66E"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de oferta</w:t>
            </w:r>
          </w:p>
        </w:tc>
        <w:tc>
          <w:tcPr>
            <w:tcW w:w="6018" w:type="dxa"/>
            <w:tcBorders>
              <w:right w:val="nil"/>
            </w:tcBorders>
            <w:vAlign w:val="center"/>
          </w:tcPr>
          <w:p w14:paraId="6A01ACFB"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5CB1FD9C">
                <v:shape id="_x0000_i1176" type="#_x0000_t75" alt="" style="width:91.1pt;height:1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5462&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E5462&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p,t&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Î±&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p,t-1&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S&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0" o:title="" chromakey="white"/>
                </v:shape>
              </w:pict>
            </w:r>
          </w:p>
        </w:tc>
      </w:tr>
      <w:tr w:rsidR="00587FDF" w:rsidRPr="00A85F2B" w14:paraId="1803057C" w14:textId="77777777" w:rsidTr="00E37438">
        <w:tc>
          <w:tcPr>
            <w:tcW w:w="3319" w:type="dxa"/>
            <w:tcBorders>
              <w:left w:val="nil"/>
            </w:tcBorders>
          </w:tcPr>
          <w:p w14:paraId="46D46DC8"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de política</w:t>
            </w:r>
          </w:p>
        </w:tc>
        <w:tc>
          <w:tcPr>
            <w:tcW w:w="6018" w:type="dxa"/>
            <w:tcBorders>
              <w:right w:val="nil"/>
            </w:tcBorders>
            <w:vAlign w:val="center"/>
          </w:tcPr>
          <w:p w14:paraId="5E846427"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4CB5B002">
                <v:shape id="_x0000_i1175" type="#_x0000_t75" alt="" style="width:80.1pt;height:11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679A7&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679A7&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u&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t&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lt;/m:t&gt;&lt;/m:r&gt;&lt;m:r&gt;&lt;m:rPr&gt;&lt;m:sty m:val=&quot;p&quot;/&gt;&lt;/m:rPr&gt;&lt;w:rPr&gt;&lt;w:rFonts w:ascii=&quot;Cambria Math&quot; w:h-ansi=&quot;Cambria Math&quot; w:cs=&quot;Calibri Light&quot;/&gt;&lt;wx:font wx:val=&quot;Cambria Math&quot;/&gt;&lt;w:lang w:val=&quot;ES-TRAD&quot;/&gt;&lt;/w:rPr&gt;&lt;m:t&gt;Î©&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u&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t-1&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1" o:title="" chromakey="white"/>
                </v:shape>
              </w:pict>
            </w:r>
          </w:p>
        </w:tc>
      </w:tr>
      <w:tr w:rsidR="00587FDF" w:rsidRPr="00A85F2B" w14:paraId="1F7DB839" w14:textId="77777777" w:rsidTr="00E37438">
        <w:tc>
          <w:tcPr>
            <w:tcW w:w="3319" w:type="dxa"/>
            <w:tcBorders>
              <w:left w:val="nil"/>
            </w:tcBorders>
          </w:tcPr>
          <w:p w14:paraId="46F62D4E"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de prima de riego</w:t>
            </w:r>
          </w:p>
        </w:tc>
        <w:tc>
          <w:tcPr>
            <w:tcW w:w="6018" w:type="dxa"/>
            <w:tcBorders>
              <w:right w:val="nil"/>
            </w:tcBorders>
            <w:vAlign w:val="center"/>
          </w:tcPr>
          <w:p w14:paraId="6D34D935" w14:textId="77777777" w:rsidR="00587FDF" w:rsidRPr="00A85F2B" w:rsidRDefault="009B31E4" w:rsidP="00E37438">
            <w:pPr>
              <w:rPr>
                <w:rFonts w:ascii="Calibri" w:hAnsi="Calibri" w:cs="Calibri"/>
                <w:sz w:val="22"/>
                <w:lang w:val="es-ES_tradnl"/>
              </w:rPr>
            </w:pPr>
            <w:r w:rsidRPr="009B31E4">
              <w:rPr>
                <w:rFonts w:ascii="Calibri" w:hAnsi="Calibri" w:cs="Calibri"/>
                <w:noProof/>
                <w:sz w:val="22"/>
              </w:rPr>
              <w:pict w14:anchorId="112FDE53">
                <v:shape id="_x0000_i1174" type="#_x0000_t75" alt="" style="width:112.4pt;height:1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25B2E&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25B2E&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p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m:rPr&gt;&lt;m:sty m:val=&quot;p&quot;/&gt;&lt;/m:rPr&gt;&lt;w:rPr&gt;&lt;w:rFonts w:ascii=&quot;Cambria Math&quot; w:h-ansi=&quot;Cambria Math&quot; w:cs=&quot;Calibri Light&quot;/&gt;&lt;wx:font wx:val=&quot;Cambria Math&quot;/&gt;&lt;w:lang w:val=&quot;ES-TRAD&quot;/&gt;&lt;/w:rPr&gt;&lt;m:t&gt;Î©&lt;/m:t&gt;&lt;/m:r&gt;&lt;/m:e&gt;&lt;m:sub&gt;&lt;m:r&gt;&lt;w:rPr&gt;&lt;w:rFonts w:ascii=&quot;Cambria Math&quot; w:h-ansi=&quot;Cambria Math&quot; w:cs=&quot;Calibri Light&quot;/&gt;&lt;wx:font wx:val=&quot;Cambria Math&quot;/&gt;&lt;w:i/&gt;&lt;w:lang w:val=&quot;ES-TRAD&quot;/&gt;&lt;/w:rPr&gt;&lt;m:t&gt;pr&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pr&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RP&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2" o:title="" chromakey="white"/>
                </v:shape>
              </w:pict>
            </w:r>
          </w:p>
        </w:tc>
      </w:tr>
      <w:tr w:rsidR="00587FDF" w:rsidRPr="00A85F2B" w14:paraId="40BF6740" w14:textId="77777777" w:rsidTr="00E37438">
        <w:tc>
          <w:tcPr>
            <w:tcW w:w="3319" w:type="dxa"/>
            <w:tcBorders>
              <w:left w:val="nil"/>
            </w:tcBorders>
          </w:tcPr>
          <w:p w14:paraId="351120D3"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de tasa externa</w:t>
            </w:r>
          </w:p>
        </w:tc>
        <w:tc>
          <w:tcPr>
            <w:tcW w:w="6018" w:type="dxa"/>
            <w:tcBorders>
              <w:right w:val="nil"/>
            </w:tcBorders>
            <w:vAlign w:val="center"/>
          </w:tcPr>
          <w:p w14:paraId="6D250861" w14:textId="77777777" w:rsidR="00587FDF" w:rsidRPr="00A85F2B" w:rsidRDefault="009B31E4" w:rsidP="00E37438">
            <w:pPr>
              <w:autoSpaceDE w:val="0"/>
              <w:autoSpaceDN w:val="0"/>
              <w:adjustRightInd w:val="0"/>
              <w:rPr>
                <w:rFonts w:ascii="Calibri" w:hAnsi="Calibri" w:cs="Calibri"/>
                <w:sz w:val="22"/>
                <w:lang w:val="es-ES_tradnl"/>
              </w:rPr>
            </w:pPr>
            <w:r w:rsidRPr="009B31E4">
              <w:rPr>
                <w:rFonts w:ascii="Calibri" w:hAnsi="Calibri" w:cs="Calibri"/>
                <w:noProof/>
                <w:sz w:val="22"/>
              </w:rPr>
              <w:pict w14:anchorId="25F3F729">
                <v:shape id="_x0000_i1173" type="#_x0000_t75" alt="" style="width:169pt;height:13.2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3F5F&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23F5F&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x,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m:rPr&gt;&lt;m:sty m:val=&quot;p&quot;/&gt;&lt;/m:rPr&gt;&lt;w:rPr&gt;&lt;w:rFonts w:ascii=&quot;Cambria Math&quot; w:h-ansi=&quot;Cambria Math&quot; w:cs=&quot;Calibri Light&quot;/&gt;&lt;wx:font wx:val=&quot;Cambria Math&quot;/&gt;&lt;w:lang w:val=&quot;ES-TRAD&quot;/&gt;&lt;/w:rPr&gt;&lt;m:t&gt;Î©&lt;/m:t&gt;&lt;/m:r&gt;&lt;/m:e&gt;&lt;m:sub&gt;&lt;m:r&gt;&lt;w:rPr&gt;&lt;w:rFonts w:ascii=&quot;Cambria Math&quot; w:h-ansi=&quot;Cambria Math&quot; w:cs=&quot;Calibri Light&quot;/&gt;&lt;wx:font wx:val=&quot;Cambria Math&quot;/&gt;&lt;w:i/&gt;&lt;w:lang w:val=&quot;ES-TRAD&quot;/&gt;&lt;/w:rPr&gt;&lt;m:t&gt;ix&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x,t-1&lt;/m:t&gt;&lt;/m:r&gt;&lt;/m:sub&gt;&lt;/m:sSub&gt;&lt;m:r&gt;&lt;w:rPr&gt;&lt;w:rFonts w:ascii=&quot;Cambria Math&quot; w:h-ansi=&quot;Cambria Math&quot; w:cs=&quot;Calibri Light&quot;/&gt;&lt;wx:font wx:val=&quot;Cambria Math&quot;/&gt;&lt;w:i/&gt;&lt;w:lang w:val=&quot;ES-TRAD&quot;/&gt;&lt;/w:rPr&gt;&lt;m:t&gt;+&lt;/m:t&gt;&lt;/m:r&gt;&lt;m:d&gt;&lt;m:dPr&gt;&lt;m:ctrlPr&gt;&lt;w:rPr&gt;&lt;w:rFonts w:ascii=&quot;Cambria Math&quot; w:h-ansi=&quot;Cambria Math&quot; w:cs=&quot;Calibri Light&quot;/&gt;&lt;wx:font wx:val=&quot;Cambria Math&quot;/&gt;&lt;w:i/&gt;&lt;w:lang w:val=&quot;ES-TRAD&quot;/&gt;&lt;/w:rPr&gt;&lt;/m:ctrlPr&gt;&lt;/m:dPr&gt;&lt;m:e&gt;&lt;m:r&gt;&lt;w:rPr&gt;&lt;w:rFonts w:ascii=&quot;Cambria Math&quot; w:h-ansi=&quot;Cambria Math&quot; w:cs=&quot;Calibri Light&quot;/&gt;&lt;wx:font wx:val=&quot;Cambria Math&quot;/&gt;&lt;w:i/&gt;&lt;w:lang w:val=&quot;ES-TRAD&quot;/&gt;&lt;/w:rPr&gt;&lt;m:t&gt;1-&lt;/m:t&gt;&lt;/m:r&gt;&lt;m:sSub&gt;&lt;m:sSubPr&gt;&lt;m:ctrlPr&gt;&lt;w:rPr&gt;&lt;w:rFonts w:ascii=&quot;Cambria Math&quot; w:h-ansi=&quot;Cambria Math&quot; w:cs=&quot;Calibri Light&quot;/&gt;&lt;wx:font wx:val=&quot;Cambria Math&quot;/&gt;&lt;w:i/&gt;&lt;w:lang w:val=&quot;ES-TRAD&quot;/&gt;&lt;/w:rPr&gt;&lt;/m:ctrlPr&gt;&lt;/m:sSubPr&gt;&lt;m:e&gt;&lt;m:r&gt;&lt;m:rPr&gt;&lt;m:sty m:val=&quot;p&quot;/&gt;&lt;/m:rPr&gt;&lt;w:rPr&gt;&lt;w:rFonts w:ascii=&quot;Cambria Math&quot; w:h-ansi=&quot;Cambria Math&quot; w:cs=&quot;Calibri Light&quot;/&gt;&lt;wx:font wx:val=&quot;Cambria Math&quot;/&gt;&lt;w:lang w:val=&quot;ES-TRAD&quot;/&gt;&lt;/w:rPr&gt;&lt;m:t&gt;Î©&lt;/m:t&gt;&lt;/m:r&gt;&lt;/m:e&gt;&lt;m:sub&gt;&lt;m:r&gt;&lt;w:rPr&gt;&lt;w:rFonts w:ascii=&quot;Cambria Math&quot; w:h-ansi=&quot;Cambria Math&quot; w:cs=&quot;Calibri Light&quot;/&gt;&lt;wx:font wx:val=&quot;Cambria Math&quot;/&gt;&lt;w:i/&gt;&lt;w:lang w:val=&quot;ES-TRAD&quot;/&gt;&lt;/w:rPr&gt;&lt;m:t&gt;ix&lt;/m:t&gt;&lt;/m:r&gt;&lt;/m:sub&gt;&lt;/m:sSub&gt;&lt;/m:e&gt;&lt;/m:d&gt;&lt;m:acc&gt;&lt;m:accPr&gt;&lt;m:chr m:val=&quot;Ì…&quot;/&gt;&lt;m:ctrlPr&gt;&lt;w:rPr&gt;&lt;w:rFonts w:ascii=&quot;Cambria Math&quot; w:h-ansi=&quot;Cambria Math&quot; w:cs=&quot;Calibri Light&quot;/&gt;&lt;wx:font wx:val=&quot;Cambria Math&quot;/&gt;&lt;w:i/&gt;&lt;w:lang w:val=&quot;ES-TRAD&quot;/&gt;&lt;/w:rPr&gt;&lt;/m:ctrlPr&gt;&lt;/m:acc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x&lt;/m:t&gt;&lt;/m:r&gt;&lt;/m:sub&gt;&lt;/m:sSub&gt;&lt;/m:e&gt;&lt;/m:acc&gt;&lt;m:r&gt;&lt;w:rPr&gt;&lt;w:rFonts w:ascii=&quot;Cambria Math&quot; w:fareast=&quot;Times New Roman&quot; w:h-ansi=&quot;Cambria Math&quot; w:cs=&quot;Calibri Light&quot;/&gt;&lt;wx:font wx:val=&quot;Cambria Math&quot;/&gt;&lt;w:i/&gt;&lt;w:lang w:val=&quot;ES-TRAD&quot;/&gt;&lt;/w:rPr&gt;&lt;m:t&gt;+&lt;/m:t&gt;&lt;/m:r&gt;&lt;m:sSub&gt;&lt;m:sSubPr&gt;&lt;m:ctrlPr&gt;&lt;w:rPr&gt;&lt;w:rFonts w:ascii=&quot;Cambria Math&quot; w:fareast=&quot;Times New Roman&quot; w:h-ansi=&quot;Cambria Math&quot; w:cs=&quot;Calibri Light&quot;/&gt;&lt;wx:font wx:val=&quot;Cambria Math&quot;/&gt;&lt;w:i/&gt;&lt;w:lang w:val=&quot;ES-TRAD&quot;/&gt;&lt;/w:rPr&gt;&lt;/m:ctrlPr&gt;&lt;/m:sSubPr&gt;&lt;m:e&gt;&lt;m:r&gt;&lt;w:rPr&gt;&lt;w:rFonts w:ascii=&quot;Cambria Math&quot; w:fareast=&quot;Times New Roman&quot; w:h-ansi=&quot;Cambria Math&quot; w:cs=&quot;Calibri Light&quot;/&gt;&lt;wx:font wx:val=&quot;Cambria Math&quot;/&gt;&lt;w:i/&gt;&lt;w:lang w:val=&quot;ES-TRAD&quot;/&gt;&lt;/w:rPr&gt;&lt;m:t&gt;te&lt;/m:t&gt;&lt;/m:r&gt;&lt;/m:e&gt;&lt;m:sub&gt;&lt;m:r&gt;&lt;w:rPr&gt;&lt;w:rFonts w:ascii=&quot;Cambria Math&quot; w:fareast=&quot;Times New Roman&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3" o:title="" chromakey="white"/>
                </v:shape>
              </w:pict>
            </w:r>
          </w:p>
        </w:tc>
      </w:tr>
      <w:tr w:rsidR="00587FDF" w:rsidRPr="00A85F2B" w14:paraId="24698920" w14:textId="77777777" w:rsidTr="00E37438">
        <w:tc>
          <w:tcPr>
            <w:tcW w:w="3319" w:type="dxa"/>
            <w:tcBorders>
              <w:left w:val="nil"/>
            </w:tcBorders>
          </w:tcPr>
          <w:p w14:paraId="09E8DF64" w14:textId="77777777" w:rsidR="00587FDF" w:rsidRPr="00A85F2B" w:rsidRDefault="00587FDF" w:rsidP="00E37438">
            <w:pPr>
              <w:rPr>
                <w:rFonts w:ascii="Calibri" w:hAnsi="Calibri" w:cs="Calibri"/>
                <w:sz w:val="22"/>
                <w:lang w:val="es-ES_tradnl"/>
              </w:rPr>
            </w:pPr>
            <w:r w:rsidRPr="00A85F2B">
              <w:rPr>
                <w:rFonts w:ascii="Calibri" w:hAnsi="Calibri" w:cs="Calibri"/>
                <w:sz w:val="22"/>
                <w:lang w:val="es-ES_tradnl"/>
              </w:rPr>
              <w:t>Choque fiscal</w:t>
            </w:r>
          </w:p>
        </w:tc>
        <w:tc>
          <w:tcPr>
            <w:tcW w:w="6018" w:type="dxa"/>
            <w:tcBorders>
              <w:right w:val="nil"/>
            </w:tcBorders>
            <w:vAlign w:val="center"/>
          </w:tcPr>
          <w:p w14:paraId="45CEAA56" w14:textId="77777777" w:rsidR="00587FDF" w:rsidRPr="00A85F2B" w:rsidRDefault="009B31E4" w:rsidP="00E37438">
            <w:pPr>
              <w:pStyle w:val="Prrafodelista"/>
              <w:ind w:left="0"/>
              <w:rPr>
                <w:rFonts w:ascii="Calibri" w:hAnsi="Calibri" w:cs="Calibri"/>
                <w:sz w:val="22"/>
                <w:lang w:val="es-ES_tradnl"/>
              </w:rPr>
            </w:pPr>
            <w:r w:rsidRPr="009B31E4">
              <w:rPr>
                <w:rFonts w:ascii="Calibri" w:hAnsi="Calibri" w:cs="Calibri"/>
                <w:noProof/>
                <w:sz w:val="22"/>
              </w:rPr>
              <w:pict w14:anchorId="759FB37C">
                <v:shape id="_x0000_i1172" type="#_x0000_t75" alt="" style="width:97pt;height:12.5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B72FD&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B72FD&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f&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m:rPr&gt;&lt;m:sty m:val=&quot;p&quot;/&gt;&lt;/m:rPr&gt;&lt;w:rPr&gt;&lt;w:rFonts w:ascii=&quot;Cambria Math&quot; w:h-ansi=&quot;Cambria Math&quot; w:cs=&quot;Calibri Light&quot;/&gt;&lt;wx:font wx:val=&quot;Cambria Math&quot;/&gt;&lt;w:lang w:val=&quot;ES-TRAD&quot;/&gt;&lt;/w:rPr&gt;&lt;m:t&gt;Î©&lt;/m:t&gt;&lt;/m:r&gt;&lt;/m:e&gt;&lt;m:sub&gt;&lt;m:r&gt;&lt;w:rPr&gt;&lt;w:rFonts w:ascii=&quot;Cambria Math&quot; w:h-ansi=&quot;Cambria Math&quot; w:cs=&quot;Calibri Light&quot;/&gt;&lt;wx:font wx:val=&quot;Cambria Math&quot;/&gt;&lt;w:i/&gt;&lt;w:lang w:val=&quot;ES-TRAD&quot;/&gt;&lt;/w:rPr&gt;&lt;m:t&gt;df&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f&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F&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4" o:title="" chromakey="white"/>
                </v:shape>
              </w:pict>
            </w:r>
          </w:p>
        </w:tc>
      </w:tr>
    </w:tbl>
    <w:p w14:paraId="7FBE48F8" w14:textId="77777777" w:rsidR="00587FDF" w:rsidRPr="00A85F2B" w:rsidRDefault="00587FDF" w:rsidP="00587FDF">
      <w:pPr>
        <w:rPr>
          <w:rFonts w:ascii="Calibri" w:hAnsi="Calibri" w:cs="Calibri"/>
          <w:sz w:val="22"/>
          <w:lang w:val="es-ES_tradnl"/>
        </w:rPr>
      </w:pPr>
      <w:r w:rsidRPr="00A85F2B">
        <w:rPr>
          <w:rFonts w:ascii="Calibri" w:hAnsi="Calibri" w:cs="Calibri"/>
          <w:sz w:val="22"/>
          <w:lang w:val="es-ES_tradnl"/>
        </w:rPr>
        <w:t>Fuente: Elaboración propia.</w:t>
      </w:r>
    </w:p>
    <w:p w14:paraId="654ACB61" w14:textId="77777777" w:rsidR="00A85F2B" w:rsidRPr="00A85F2B" w:rsidRDefault="00A85F2B" w:rsidP="00A85F2B">
      <w:pPr>
        <w:autoSpaceDE w:val="0"/>
        <w:autoSpaceDN w:val="0"/>
        <w:adjustRightInd w:val="0"/>
        <w:rPr>
          <w:rFonts w:ascii="Calibri" w:hAnsi="Calibri" w:cs="Calibri"/>
          <w:sz w:val="22"/>
          <w:lang w:val="es-ES_tradnl"/>
        </w:rPr>
      </w:pPr>
    </w:p>
    <w:p w14:paraId="63E57F9D" w14:textId="52280B6A" w:rsidR="00A85F2B" w:rsidRPr="00A85F2B" w:rsidRDefault="00A85F2B" w:rsidP="00A85F2B">
      <w:pPr>
        <w:autoSpaceDE w:val="0"/>
        <w:autoSpaceDN w:val="0"/>
        <w:adjustRightInd w:val="0"/>
        <w:rPr>
          <w:rFonts w:ascii="Calibri" w:hAnsi="Calibri" w:cs="Calibri"/>
          <w:sz w:val="22"/>
          <w:lang w:val="es-ES_tradnl"/>
        </w:rPr>
      </w:pPr>
      <w:r w:rsidRPr="00A85F2B">
        <w:rPr>
          <w:rFonts w:ascii="Calibri" w:hAnsi="Calibri" w:cs="Calibri"/>
          <w:sz w:val="22"/>
          <w:lang w:val="es-ES_tradnl"/>
        </w:rPr>
        <w:t xml:space="preserve">Se define como vector estándar de variables estado endógenas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5CBC52D1">
          <v:shape id="_x0000_i1171"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3634&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23634&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5"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13034394">
          <v:shape id="_x0000_i1170"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3634&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23634&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5"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el vector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7A3C5104">
          <v:shape id="_x0000_i1169" type="#_x0000_t75" alt="" style="width:1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31E&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2431E&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6"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62A7BBC7">
          <v:shape id="_x0000_i1168" type="#_x0000_t75" alt="" style="width:1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31E&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2431E&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6"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representa las variables de estado exógenas o innovaciones estructurales y el vector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227E8F20">
          <v:shape id="_x0000_i1167" type="#_x0000_t75" alt="" style="width:13.2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4EB&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E54EB&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404554F6">
          <v:shape id="_x0000_i1166" type="#_x0000_t75" alt="" style="width:13.2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4EB&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E54EB&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de variables de control del modelo que contiene las variables del modelo expresadas como desviaciones lineales respecto a su estado estable de la siguiente manera:</w:t>
      </w:r>
    </w:p>
    <w:p w14:paraId="765D89B7" w14:textId="77777777" w:rsidR="00A85F2B" w:rsidRPr="00A85F2B" w:rsidRDefault="009B31E4" w:rsidP="00A85F2B">
      <w:pPr>
        <w:autoSpaceDE w:val="0"/>
        <w:autoSpaceDN w:val="0"/>
        <w:adjustRightInd w:val="0"/>
        <w:jc w:val="center"/>
        <w:rPr>
          <w:rFonts w:ascii="Calibri" w:hAnsi="Calibri" w:cs="Calibri"/>
          <w:sz w:val="22"/>
          <w:lang w:val="es-ES_tradnl"/>
        </w:rPr>
      </w:pPr>
      <w:r w:rsidRPr="009B31E4">
        <w:rPr>
          <w:rFonts w:ascii="Calibri" w:hAnsi="Calibri" w:cs="Calibri"/>
          <w:noProof/>
          <w:sz w:val="22"/>
        </w:rPr>
        <w:pict w14:anchorId="2E20392B">
          <v:shape id="_x0000_i1165" type="#_x0000_t75" alt="" style="width:249.05pt;height:52.9pt;mso-width-percent:0;mso-height-percent:0;mso-width-percent:0;mso-height-percent:0" equationxml="&lt;?xml version=&quot;1.0&quot; encoding=&quot;UTF-8&quot; standalone=&quot;yes&quot;?&gt;&#13;&#13;&#13;&#13;&#10;&#13;&#13;&#13;&#13;&#10;&lt;?mso-application progid=&quot;Word.Document&quot;?&gt;&#13;&#13;&#13;&#13;&#10;&#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4F60&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A34F60&quot; wsp:rsidRDefault=&quot;00A34F60&quot; wsp:rsidP=&quot;00A34F60&quot;&gt;&lt;m:oMathPara&gt;&lt;m:oMath&gt;&lt;m:m&gt;&lt;m:mPr&gt;&lt;m:mcs&gt;&lt;m:mc&gt;&lt;m:mcPr&gt;&lt;m:count m:val=&quot;3&quot;/&gt;&lt;m:mcJc m:val=&quot;center&quot;/&gt;&lt;/m:mcPr&gt;&lt;/m:mc&gt;&lt;/m:mcs&gt;&lt;m:ctrlPr&gt;&lt;w:rPr&gt;&lt;w:rFonts w:ascii=&quot;Cambria Math&quot; w:h-ansi=&quot;Cambria Math&quot; w:cs=&quot;Calibri Light&quot;/&gt;&lt;wx:font wx:val=&quot;Cambria Math&quot;/&gt;&lt;w:i/&gt;&lt;w:lang w:val=&quot;ES-TRAD&quot;/&gt;&lt;/w:rPr&gt;&lt;/m:ctrlPr&gt;&lt;/m:mPr&gt;&lt;m:m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e&gt;&lt;m:e&gt;&lt;m:r&gt;&lt;w:rPr&gt;&lt;w:rFonts w:ascii=&quot;Cambria Math&quot; w:h-ansi=&quot;Cambria Math&quot; w:cs=&quot;Calibri Light&quot;/&gt;&lt;wx:font wx:val=&quot;Cambria Math&quot;/&gt;&lt;w:i/&gt;&lt;w:lang w:val=&quot;ES-TRAD&quot;/&gt;&lt;/w:rPr&gt;&lt;m:t&gt;=&lt;/m:t&gt;&lt;/m:r&gt;&lt;/m:e&gt;&lt;m:e&gt;&lt;m:sSubSup&gt;&lt;m:sSubSupPr&gt;&lt;m:ctrlPr&gt;&lt;w:rPr&gt;&lt;w:rFonts w:ascii=&quot;Cambria Math&quot; w:h-ansi=&quot;Cambria Math&quot; w:cs=&quot;Calibri Light&quot;/&gt;&lt;wx:font wx:val=&quot;Cambria Math&quot;/&gt;&lt;w:i/&gt;&lt;w:lang w:val=&quot;ES-TRAD&quot;/&gt;&lt;/w:rPr&gt;&lt;/m:ctrlPr&gt;&lt;/m:sSubSupPr&gt;&lt;m:e&gt;&lt;m:d&gt;&lt;m:dPr&gt;&lt;m:begChr m:val=&quot;âŒ©&quot;/&gt;&lt;m:endChr m:val=&quot;âŒª&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f&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lt;/m:t&gt;&lt;/m:r&gt;&lt;/m:e&gt;&lt;/m:d&gt;&lt;/m:e&gt;&lt;m:sub&gt;&lt;m:r&gt;&lt;w:rPr&gt;&lt;w:rFonts w:ascii=&quot;Cambria Math&quot; w:h-ansi=&quot;Cambria Math&quot; w:cs=&quot;Calibri Light&quot;/&gt;&lt;wx:font wx:val=&quot;Cambria Math&quot;/&gt;&lt;w:i/&gt;&lt;w:lang w:val=&quot;ES-TRAD&quot;/&gt;&lt;/w:rPr&gt;&lt;m:t&gt;t=0&lt;/m:t&gt;&lt;/m:r&gt;&lt;/m:sub&gt;&lt;m:sup&gt;&lt;m:r&gt;&lt;w:rPr&gt;&lt;w:rFonts w:ascii=&quot;Cambria Math&quot; w:h-ansi=&quot;Cambria Math&quot; w:cs=&quot;Calibri Light&quot;/&gt;&lt;wx:font wx:val=&quot;Cambria Math&quot;/&gt;&lt;w:i/&gt;&lt;w:lang w:val=&quot;ES-TRAD&quot;/&gt;&lt;/w:rPr&gt;&lt;m:t&gt;âˆ_&lt;/m:t&gt;&lt;/m:r&gt;&lt;/m:sup&gt;&lt;/m:sSubSup&gt;&lt;/m:e&gt;&lt;/m:mr&gt;&lt;m:m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e&gt;&lt;m:e&gt;&lt;m:r&gt;&lt;w:rPr&gt;&lt;w:rFonts w:ascii=&quot;Cambria Math&quot; w:h-ansi=&quot;Cambria Math&quot; w:cs=&quot;Calibri Light&quot;/&gt;&lt;wx:font wx:val=&quot;Cambria Math&quot;/&gt;&lt;w:i/&gt;&lt;w:lang w:val=&quot;ES-TRAD&quot;/&gt;&lt;/w:rPr&gt;&lt;m:t&gt;=&lt;/m:t&gt;&lt;/m:r&gt;&lt;/m:e&gt;&lt;m:e&gt;&lt;m:sSubSup&gt;&lt;m:sSubSupPr&gt;&lt;m:ctrlPr&gt;&lt;w:rPr&gt;&lt;w:rFonts w:ascii=&quot;Cambria Math&quot; w:h-ansi=&quot;Cambria Math&quot; w:cs=&quot;Calibri Light&quot;/&gt;&lt;wx:font wx:val=&quot;Cambria Math&quot;/&gt;&lt;w:i/&gt;&lt;w:lang w:val=&quot;ES-TRAD&quot;/&gt;&lt;/w:rPr&gt;&lt;/m:ctrlPr&gt;&lt;/m:sSubSupPr&gt;&lt;m:e&gt;&lt;m:d&gt;&lt;m:dPr&gt;&lt;m:begChr m:val=&quot;âŒ©&quot;/&gt;&lt;m:endChr m:val=&quot;âŒª&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x,t-1&lt;/m:t&gt;&lt;/m:r&gt;&lt;/m:sub&gt;&lt;/m:sSub&gt;&lt;/m:e&gt;&lt;/m:d&gt;&lt;/m:e&gt;&lt;m:sub&gt;&lt;m:r&gt;&lt;w:rPr&gt;&lt;w:rFonts w:ascii=&quot;Cambria Math&quot; w:h-ansi=&quot;Cambria Math&quot; w:cs=&quot;Calibri Light&quot;/&gt;&lt;wx:font wx:val=&quot;Cambria Math&quot;/&gt;&lt;w:i/&gt;&lt;w:lang w:val=&quot;ES-TRAD&quot;/&gt;&lt;/w:rPr&gt;&lt;m:t&gt;t=0&lt;/m:t&gt;&lt;/m:r&gt;&lt;/m:sub&gt;&lt;m:sup&gt;&lt;m:r&gt;&lt;w:rPr&gt;&lt;w:rFonts w:ascii=&quot;Cambria Math&quot; w:h-ansi=&quot;Cambria Math&quot; w:cs=&quot;Calibri Light&quot;/&gt;&lt;wx:font wx:val=&quot;Cambria Math&quot;/&gt;&lt;w:i/&gt;&lt;w:lang w:val=&quot;ES-TRAD&quot;/&gt;&lt;/w:rPr&gt;&lt;m:t&gt;âˆ_&lt;/m:t&gt;&lt;/m:r&gt;&lt;/m:sup&gt;&lt;/m:sSubSup&gt;&lt;/m:e&gt;&lt;/m:mr&gt;&lt;m:m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e&gt;&lt;m:e&gt;&lt;m:r&gt;&lt;w:rPr&gt;&lt;w:rFonts w:ascii=&quot;Cambria Math&quot; w:h-ansi=&quot;Cambria Math&quot; w:cs=&quot;Calibri Light&quot;/&gt;&lt;wx:font wx:val=&quot;Cambria Math&quot;/&gt;&lt;w:i/&gt;&lt;w:lang w:val=&quot;ES-TRAD&quot;/&gt;&lt;/w:rPr&gt;&lt;m:t&gt;=&lt;/m:t&gt;&lt;/m:r&gt;&lt;/m:e&gt;&lt;m:e&gt;&lt;m:sSubSup&gt;&lt;m:sSubSupPr&gt;&lt;m:ctrlPr&gt;&lt;w:rPr&gt;&lt;w:rFonts w:ascii=&quot;Cambria Math&quot; w:h-ansi=&quot;Cambria Math&quot; w:cs=&quot;Calibri Light&quot;/&gt;&lt;wx:font wx:val=&quot;Cambria Math&quot;/&gt;&lt;w:i/&gt;&lt;w:lang w:val=&quot;ES-TRAD&quot;/&gt;&lt;/w:rPr&gt;&lt;/m:ctrlPr&gt;&lt;/m:sSubSupPr&gt;&lt;m:e&gt;&lt;m:d&gt;&lt;m:dPr&gt;&lt;m:begChr m:val=&quot;âŒ©&quot;/&gt;&lt;m:endChr m:val=&quot;âŒª&quot;/&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x,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ti&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y,t&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µ&lt;/m:t&gt;&lt;/m:r&gt;&lt;m:ctrlPr&gt;&lt;w:rPr&gt;&lt;w:rFonts w:ascii=&quot;Cambria Math&quot; w:h-ansi=&quot;Cambria Math&quot; w:cs=&quot;Calibri Light&quot;/&gt;&lt;wx:font wx:val=&quot;Cambria Math&quot;/&gt;&lt;w:lang w:val=&quot;ES-TRAD&quot;/&gt;&lt;/w:rPr&gt;&lt;/m:ctrlPr&gt;&lt;/m:e&gt;&lt;m:sub&gt;&lt;m:r&gt;&lt;w:rPr&gt;&lt;w:rFonts w:ascii=&quot;Cambria Math&quot; w:h-ansi=&quot;Cambria Math&quot; w:cs=&quot;Calibri Light&quot;/&gt;&lt;wx:font wx:val=&quot;Cambria Math&quot;/&gt;&lt;w:i/&gt;&lt;w:lang w:val=&quot;ES-TRAD&quot;/&gt;&lt;/w:rPr&gt;&lt;m:t&gt;p,t&lt;/m:t&gt;&lt;/m:r&gt;&lt;m:ctrlPr&gt;&lt;w:rPr&gt;&lt;w:rFonts w:ascii=&quot;Cambria Math&quot; w:h-ansi=&quot;Cambria Math&quot; w:cs=&quot;Calibri Light&quot;/&gt;&lt;wx:font wx:val=&quot;Cambria Math&quot;/&gt;&lt;w:lang w:val=&quot;ES-TRAD&quot;/&gt;&lt;/w:rPr&gt;&lt;/m:ctrlPr&gt;&lt;/m:sub&gt;&lt;/m:sSub&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fareast=&quot;Times New Roman&quot; w:h-ansi=&quot;Cambria Math&quot; w:cs=&quot;Calibri Light&quot;/&gt;&lt;wx:font wx:val=&quot;Cambria Math&quot;/&gt;&lt;w:i/&gt;&lt;w:lang w:val=&quot;ES-TRAD&quot;/&gt;&lt;/w:rPr&gt;&lt;/m:ctrlPr&gt;&lt;/m:sSubPr&gt;&lt;m:e&gt;&lt;m:r&gt;&lt;w:rPr&gt;&lt;w:rFonts w:ascii=&quot;Cambria Math&quot; w:fareast=&quot;Times New Roman&quot; w:h-ansi=&quot;Cambria Math&quot; w:cs=&quot;Calibri Light&quot;/&gt;&lt;wx:font wx:val=&quot;Cambria Math&quot;/&gt;&lt;w:i/&gt;&lt;w:lang w:val=&quot;ES-TRAD&quot;/&gt;&lt;/w:rPr&gt;&lt;m:t&gt;u&lt;/m:t&gt;&lt;/m:r&gt;&lt;/m:e&gt;&lt;m:sub&gt;&lt;m:r&gt;&lt;w:rPr&gt;&lt;w:rFonts w:ascii=&quot;Cambria Math&quot; w:fareast=&quot;Times New Roman&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pr&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 ,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x,t&lt;/m:t&gt;&lt;/m:r&gt;&lt;/m:sub&gt;&lt;/m:sSub&gt;&lt;m:r&gt;&lt;w:rPr&gt;&lt;w:rFonts w:ascii=&quot;Cambria Math&quot; w:fareast=&quot;Times New Roman&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CF&lt;/m:t&gt;&lt;/m:r&gt;&lt;/m:e&gt;&lt;m:sub&gt;&lt;m:r&gt;&lt;w:rPr&gt;&lt;w:rFonts w:ascii=&quot;Cambria Math&quot; w:h-ansi=&quot;Cambria Math&quot; w:cs=&quot;Calibri Light&quot;/&gt;&lt;wx:font wx:val=&quot;Cambria Math&quot;/&gt;&lt;w:i/&gt;&lt;w:lang w:val=&quot;ES-TRAD&quot;/&gt;&lt;/w:rPr&gt;&lt;m:t&gt;t&lt;/m:t&gt;&lt;/m:r&gt;&lt;/m:sub&gt;&lt;/m:sSub&gt;&lt;/m:e&gt;&lt;/m:d&gt;&lt;/m:e&gt;&lt;m:sub&gt;&lt;m:r&gt;&lt;w:rPr&gt;&lt;w:rFonts w:ascii=&quot;Cambria Math&quot; w:h-ansi=&quot;Cambria Math&quot; w:cs=&quot;Calibri Light&quot;/&gt;&lt;wx:font wx:val=&quot;Cambria Math&quot;/&gt;&lt;w:i/&gt;&lt;w:lang w:val=&quot;ES-TRAD&quot;/&gt;&lt;/w:rPr&gt;&lt;m:t&gt;t=0&lt;/m:t&gt;&lt;/m:r&gt;&lt;/m:sub&gt;&lt;m:sup&gt;&lt;m:r&gt;&lt;w:rPr&gt;&lt;w:rFonts w:ascii=&quot;Cambria Math&quot; w:h-ansi=&quot;Cambria Math&quot; w:cs=&quot;Calibri Light&quot;/&gt;&lt;wx:font wx:val=&quot;Cambria Math&quot;/&gt;&lt;w:i/&gt;&lt;w:lang w:val=&quot;ES-TRAD&quot;/&gt;&lt;/w:rPr&gt;&lt;m:t&gt;âˆ_&lt;/m:t&gt;&lt;/m:r&gt;&lt;/m:sup&gt;&lt;/m:sSubSup&gt;&lt;/m:e&gt;&lt;/m:mr&gt;&lt;/m:m&gt;&lt;/m:oMath&gt;&lt;/m:oMathPara&gt;&lt;/w:p&gt;&lt;w:sectPr wsp:rsidR=&quot;00000000&quot; wsp:rsidRPr=&quot;00A34F60&quot;&gt;&lt;w:pgSz w:w=&quot;12240&quot; w:h=&quot;15840&quot;/&gt;&lt;w:pgMar w:top=&quot;1417&quot; w:right=&quot;1701&quot; w:bottom=&quot;1417&quot; w:left=&quot;1701&quot; w:header=&quot;720&quot; w:footer=&quot;720&quot; w:gutter=&quot;0&quot;/&gt;&lt;w:cols w:space=&quot;720&quot;/&gt;&lt;/w:sectPr&gt;&lt;/wx:sect&gt;&lt;/w:body&gt;&lt;/w:wordDocument&gt;">
            <v:imagedata r:id="rId28" o:title="" chromakey="white"/>
          </v:shape>
        </w:pict>
      </w:r>
    </w:p>
    <w:p w14:paraId="7D792FF5" w14:textId="77777777" w:rsidR="00A85F2B" w:rsidRPr="00A85F2B" w:rsidRDefault="00A85F2B" w:rsidP="00A85F2B">
      <w:pPr>
        <w:ind w:firstLine="284"/>
        <w:rPr>
          <w:rFonts w:ascii="Calibri" w:hAnsi="Calibri" w:cs="Calibri"/>
          <w:sz w:val="22"/>
          <w:lang w:val="es-ES_tradnl"/>
        </w:rPr>
      </w:pPr>
      <w:r w:rsidRPr="00A85F2B">
        <w:rPr>
          <w:rFonts w:ascii="Calibri" w:hAnsi="Calibri" w:cs="Calibri"/>
          <w:sz w:val="22"/>
          <w:lang w:val="es-ES_tradnl"/>
        </w:rPr>
        <w:t>Por lo tanto, la estructura del modelo puede entenderse como:</w:t>
      </w:r>
    </w:p>
    <w:p w14:paraId="2D31BB39" w14:textId="77777777" w:rsidR="00A85F2B" w:rsidRPr="00A85F2B" w:rsidRDefault="009B31E4" w:rsidP="00A85F2B">
      <w:pPr>
        <w:jc w:val="center"/>
        <w:rPr>
          <w:rFonts w:ascii="Calibri" w:hAnsi="Calibri" w:cs="Calibri"/>
          <w:sz w:val="22"/>
          <w:lang w:val="es-ES_tradnl"/>
        </w:rPr>
      </w:pPr>
      <w:r w:rsidRPr="009B31E4">
        <w:rPr>
          <w:rFonts w:ascii="Calibri" w:hAnsi="Calibri" w:cs="Calibri"/>
          <w:noProof/>
          <w:sz w:val="22"/>
        </w:rPr>
        <w:pict w14:anchorId="56AA4048">
          <v:shape id="_x0000_i1164" type="#_x0000_t75" alt="" style="width:107.25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B7B&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F1B7B&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p&gt;&lt;m:sSupPr&gt;&lt;m:ctrlPr&gt;&lt;w:rPr&gt;&lt;w:rFonts w:ascii=&quot;Cambria Math&quot; w:h-ansi=&quot;Cambria Math&quot; w:cs=&quot;Calibri Light&quot;/&gt;&lt;wx:font wx:val=&quot;Cambria Math&quot;/&gt;&lt;w:i/&gt;&lt;w:lang w:val=&quot;ES-TRAD&quot;/&gt;&lt;/w:rPr&gt;&lt;/m:ctrlPr&gt;&lt;/m:sSupPr&gt;&lt;m:e&gt;&lt;m:r&gt;&lt;w:rPr&gt;&lt;w:rFonts w:ascii=&quot;Cambria Math&quot; w:h-ansi=&quot;Cambria Math&quot; w:cs=&quot;Calibri Light&quot;/&gt;&lt;wx:font wx:val=&quot;Cambria Math&quot;/&gt;&lt;w:i/&gt;&lt;w:lang w:val=&quot;ES-TRAD&quot;/&gt;&lt;/w:rPr&gt;&lt;m:t&gt;C&lt;/m:t&gt;&lt;/m:r&gt;&lt;/m:e&gt;&lt;m:sup&gt;&lt;m:r&gt;&lt;w:rPr&gt;&lt;w:rFonts w:ascii=&quot;Cambria Math&quot; w:h-ansi=&quot;Cambria Math&quot; w:cs=&quot;Calibri Light&quot;/&gt;&lt;wx:font wx:val=&quot;Cambria Math&quot;/&gt;&lt;w:i/&gt;&lt;w:lang w:val=&quot;ES-TRAD&quot;/&gt;&lt;/w:rPr&gt;&lt;m:t&gt;i-1&lt;/m:t&gt;&lt;/m:r&gt;&lt;/m:sup&gt;&lt;/m:sSup&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1&lt;/m:t&gt;&lt;/m:r&gt;&lt;/m:sub&gt;&lt;/m:sSub&gt;&lt;m:r&gt;&lt;w:rPr&gt;&lt;w:rFonts w:ascii=&quot;Cambria Math&quot; w:h-ansi=&quot;Cambria Math&quot; w:cs=&quot;Calibri Light&quot;/&gt;&lt;wx:font wx:val=&quot;Cambria Math&quot;/&gt;&lt;w:i/&gt;&lt;w:lang w:val=&quot;ES-TRAD&quot;/&gt;&lt;/w:rPr&gt;&lt;m:t&gt;+&lt;/m:t&gt;&lt;/m:r&gt;&lt;m:sSup&gt;&lt;m:sSupPr&gt;&lt;m:ctrlPr&gt;&lt;w:rPr&gt;&lt;w:rFonts w:ascii=&quot;Cambria Math&quot; w:h-ansi=&quot;Cambria Math&quot; w:cs=&quot;Calibri Light&quot;/&gt;&lt;wx:font wx:val=&quot;Cambria Math&quot;/&gt;&lt;w:i/&gt;&lt;w:lang w:val=&quot;ES-TRAD&quot;/&gt;&lt;/w:rPr&gt;&lt;/m:ctrlPr&gt;&lt;/m:sSupPr&gt;&lt;m:e&gt;&lt;m:r&gt;&lt;w:rPr&gt;&lt;w:rFonts w:ascii=&quot;Cambria Math&quot; w:h-ansi=&quot;Cambria Math&quot; w:cs=&quot;Calibri Light&quot;/&gt;&lt;wx:font wx:val=&quot;Cambria Math&quot;/&gt;&lt;w:i/&gt;&lt;w:lang w:val=&quot;ES-TRAD&quot;/&gt;&lt;/w:rPr&gt;&lt;m:t&gt;C&lt;/m:t&gt;&lt;/m:r&gt;&lt;/m:e&gt;&lt;m:sup&gt;&lt;m:r&gt;&lt;w:rPr&gt;&lt;w:rFonts w:ascii=&quot;Cambria Math&quot; w:h-ansi=&quot;Cambria Math&quot; w:cs=&quot;Calibri Light&quot;/&gt;&lt;wx:font wx:val=&quot;Cambria Math&quot;/&gt;&lt;w:i/&gt;&lt;w:lang w:val=&quot;ES-TRAD&quot;/&gt;&lt;/w:rPr&gt;&lt;m:t&gt;i&lt;/m:t&gt;&lt;/m:r&gt;&lt;/m:sup&gt;&lt;/m:sSup&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9" o:title="" chromakey="white"/>
          </v:shape>
        </w:pict>
      </w:r>
    </w:p>
    <w:p w14:paraId="67E83EDD" w14:textId="77777777" w:rsidR="00A85F2B" w:rsidRPr="00A85F2B" w:rsidRDefault="00A85F2B" w:rsidP="00A85F2B">
      <w:pPr>
        <w:ind w:firstLine="284"/>
        <w:rPr>
          <w:rFonts w:ascii="Calibri" w:hAnsi="Calibri" w:cs="Calibri"/>
          <w:sz w:val="22"/>
          <w:lang w:val="es-ES_tradnl"/>
        </w:rPr>
      </w:pPr>
      <w:r w:rsidRPr="00A85F2B">
        <w:rPr>
          <w:rFonts w:ascii="Calibri" w:hAnsi="Calibri" w:cs="Calibri"/>
          <w:sz w:val="22"/>
          <w:lang w:val="es-ES_tradnl"/>
        </w:rPr>
        <w:t xml:space="preserve">Donde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709A0E4F">
          <v:shape id="_x0000_i1163" type="#_x0000_t75" alt="" style="width:22.8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5C&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F455C&quot;&gt;&lt;m:oMathPara&gt;&lt;m:oMath&gt;&lt;m:sSup&gt;&lt;m:sSupPr&gt;&lt;m:ctrlPr&gt;&lt;w:rPr&gt;&lt;w:rFonts w:ascii=&quot;Cambria Math&quot; w:h-ansi=&quot;Cambria Math&quot; w:cs=&quot;Calibri Light&quot;/&gt;&lt;wx:font wx:val=&quot;Cambria Math&quot;/&gt;&lt;w:i/&gt;&lt;w:lang w:val=&quot;ES-TRAD&quot;/&gt;&lt;/w:rPr&gt;&lt;/m:ctrlPr&gt;&lt;/m:sSupPr&gt;&lt;m:e&gt;&lt;m:r&gt;&lt;w:rPr&gt;&lt;w:rFonts w:ascii=&quot;Cambria Math&quot; w:h-ansi=&quot;Cambria Math&quot; w:cs=&quot;Calibri Light&quot;/&gt;&lt;wx:font wx:val=&quot;Cambria Math&quot;/&gt;&lt;w:i/&gt;&lt;w:lang w:val=&quot;ES-TRAD&quot;/&gt;&lt;/w:rPr&gt;&lt;m:t&gt;C&lt;/m:t&gt;&lt;/m:r&gt;&lt;/m:e&gt;&lt;m:sup&gt;&lt;m:r&gt;&lt;w:rPr&gt;&lt;w:rFonts w:ascii=&quot;Cambria Math&quot; w:h-ansi=&quot;Cambria Math&quot; w:cs=&quot;Calibri Light&quot;/&gt;&lt;wx:font wx:val=&quot;Cambria Math&quot;/&gt;&lt;w:i/&gt;&lt;w:lang w:val=&quot;ES-TRAD&quot;/&gt;&lt;/w:rPr&gt;&lt;m:t&gt;i-1&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0"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37199023">
          <v:shape id="_x0000_i1162" type="#_x0000_t75" alt="" style="width:22.8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5C&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F455C&quot;&gt;&lt;m:oMathPara&gt;&lt;m:oMath&gt;&lt;m:sSup&gt;&lt;m:sSupPr&gt;&lt;m:ctrlPr&gt;&lt;w:rPr&gt;&lt;w:rFonts w:ascii=&quot;Cambria Math&quot; w:h-ansi=&quot;Cambria Math&quot; w:cs=&quot;Calibri Light&quot;/&gt;&lt;wx:font wx:val=&quot;Cambria Math&quot;/&gt;&lt;w:i/&gt;&lt;w:lang w:val=&quot;ES-TRAD&quot;/&gt;&lt;/w:rPr&gt;&lt;/m:ctrlPr&gt;&lt;/m:sSupPr&gt;&lt;m:e&gt;&lt;m:r&gt;&lt;w:rPr&gt;&lt;w:rFonts w:ascii=&quot;Cambria Math&quot; w:h-ansi=&quot;Cambria Math&quot; w:cs=&quot;Calibri Light&quot;/&gt;&lt;wx:font wx:val=&quot;Cambria Math&quot;/&gt;&lt;w:i/&gt;&lt;w:lang w:val=&quot;ES-TRAD&quot;/&gt;&lt;/w:rPr&gt;&lt;m:t&gt;C&lt;/m:t&gt;&lt;/m:r&gt;&lt;/m:e&gt;&lt;m:sup&gt;&lt;m:r&gt;&lt;w:rPr&gt;&lt;w:rFonts w:ascii=&quot;Cambria Math&quot; w:h-ansi=&quot;Cambria Math&quot; w:cs=&quot;Calibri Light&quot;/&gt;&lt;wx:font wx:val=&quot;Cambria Math&quot;/&gt;&lt;w:i/&gt;&lt;w:lang w:val=&quot;ES-TRAD&quot;/&gt;&lt;/w:rPr&gt;&lt;m:t&gt;i-1&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0"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y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2F9064D3">
          <v:shape id="_x0000_i1161" type="#_x0000_t75" alt="" style="width:12.5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3A61&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73A61&quot;&gt;&lt;m:oMathPara&gt;&lt;m:oMath&gt;&lt;m:sSup&gt;&lt;m:sSupPr&gt;&lt;m:ctrlPr&gt;&lt;w:rPr&gt;&lt;w:rFonts w:ascii=&quot;Cambria Math&quot; w:h-ansi=&quot;Cambria Math&quot; w:cs=&quot;Calibri Light&quot;/&gt;&lt;wx:font wx:val=&quot;Cambria Math&quot;/&gt;&lt;w:i/&gt;&lt;w:lang w:val=&quot;ES-TRAD&quot;/&gt;&lt;/w:rPr&gt;&lt;/m:ctrlPr&gt;&lt;/m:sSupPr&gt;&lt;m:e&gt;&lt;m:r&gt;&lt;w:rPr&gt;&lt;w:rFonts w:ascii=&quot;Cambria Math&quot; w:h-ansi=&quot;Cambria Math&quot; w:cs=&quot;Calibri Light&quot;/&gt;&lt;wx:font wx:val=&quot;Cambria Math&quot;/&gt;&lt;w:i/&gt;&lt;w:lang w:val=&quot;ES-TRAD&quot;/&gt;&lt;/w:rPr&gt;&lt;m:t&gt;C&lt;/m:t&gt;&lt;/m:r&gt;&lt;/m:e&gt;&lt;m:sup&gt;&lt;m:r&gt;&lt;w:rPr&gt;&lt;w:rFonts w:ascii=&quot;Cambria Math&quot; w:h-ansi=&quot;Cambria Math&quot; w:cs=&quot;Calibri Light&quot;/&gt;&lt;wx:font wx:val=&quot;Cambria Math&quot;/&gt;&lt;w:i/&gt;&lt;w:lang w:val=&quot;ES-TRAD&quot;/&gt;&lt;/w:rPr&gt;&lt;m:t&gt;i&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1"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1F950E9D">
          <v:shape id="_x0000_i1160" type="#_x0000_t75" alt="" style="width:12.5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3A61&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73A61&quot;&gt;&lt;m:oMathPara&gt;&lt;m:oMath&gt;&lt;m:sSup&gt;&lt;m:sSupPr&gt;&lt;m:ctrlPr&gt;&lt;w:rPr&gt;&lt;w:rFonts w:ascii=&quot;Cambria Math&quot; w:h-ansi=&quot;Cambria Math&quot; w:cs=&quot;Calibri Light&quot;/&gt;&lt;wx:font wx:val=&quot;Cambria Math&quot;/&gt;&lt;w:i/&gt;&lt;w:lang w:val=&quot;ES-TRAD&quot;/&gt;&lt;/w:rPr&gt;&lt;/m:ctrlPr&gt;&lt;/m:sSupPr&gt;&lt;m:e&gt;&lt;m:r&gt;&lt;w:rPr&gt;&lt;w:rFonts w:ascii=&quot;Cambria Math&quot; w:h-ansi=&quot;Cambria Math&quot; w:cs=&quot;Calibri Light&quot;/&gt;&lt;wx:font wx:val=&quot;Cambria Math&quot;/&gt;&lt;w:i/&gt;&lt;w:lang w:val=&quot;ES-TRAD&quot;/&gt;&lt;/w:rPr&gt;&lt;m:t&gt;C&lt;/m:t&gt;&lt;/m:r&gt;&lt;/m:e&gt;&lt;m:sup&gt;&lt;m:r&gt;&lt;w:rPr&gt;&lt;w:rFonts w:ascii=&quot;Cambria Math&quot; w:h-ansi=&quot;Cambria Math&quot; w:cs=&quot;Calibri Light&quot;/&gt;&lt;wx:font wx:val=&quot;Cambria Math&quot;/&gt;&lt;w:i/&gt;&lt;w:lang w:val=&quot;ES-TRAD&quot;/&gt;&lt;/w:rPr&gt;&lt;m:t&gt;i&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1"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son matrices de tamaño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264E2932">
          <v:shape id="_x0000_i1159" type="#_x0000_t75" alt="" style="width:41.15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E57&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31E57&quot;&gt;&lt;m:oMathPara&gt;&lt;m:oMath&gt;&lt;m:r&gt;&lt;w:rPr&gt;&lt;w:rFonts w:ascii=&quot;Cambria Math&quot; w:fareast=&quot;Times New Roman&quot; w:h-ansi=&quot;Cambria Math&quot; w:cs=&quot;Calibri Light&quot;/&gt;&lt;wx:font wx:val=&quot;Cambria Math&quot;/&gt;&lt;w:i/&gt;&lt;w:lang w:val=&quot;ES-TRAD&quot;/&gt;&lt;/w:rPr&gt;&lt;m:t&gt;10Ã—1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2"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53BCD133">
          <v:shape id="_x0000_i1158" type="#_x0000_t75" alt="" style="width:41.15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E57&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31E57&quot;&gt;&lt;m:oMathPara&gt;&lt;m:oMath&gt;&lt;m:r&gt;&lt;w:rPr&gt;&lt;w:rFonts w:ascii=&quot;Cambria Math&quot; w:fareast=&quot;Times New Roman&quot; w:h-ansi=&quot;Cambria Math&quot; w:cs=&quot;Calibri Light&quot;/&gt;&lt;wx:font wx:val=&quot;Cambria Math&quot;/&gt;&lt;w:i/&gt;&lt;w:lang w:val=&quot;ES-TRAD&quot;/&gt;&lt;/w:rPr&gt;&lt;m:t&gt;10Ã—10&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2"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De esta forma se define el vector columna de la siguiente manera:</w:t>
      </w:r>
    </w:p>
    <w:p w14:paraId="53C09739" w14:textId="4B6B62A7" w:rsidR="00A85F2B" w:rsidRPr="00A85F2B" w:rsidRDefault="009B31E4" w:rsidP="00A85F2B">
      <w:pPr>
        <w:jc w:val="center"/>
        <w:rPr>
          <w:rFonts w:ascii="Calibri" w:hAnsi="Calibri" w:cs="Calibri"/>
          <w:sz w:val="22"/>
          <w:lang w:val="es-ES_tradnl"/>
        </w:rPr>
      </w:pPr>
      <w:r w:rsidRPr="009B31E4">
        <w:rPr>
          <w:rFonts w:ascii="Calibri" w:hAnsi="Calibri" w:cs="Calibri"/>
          <w:noProof/>
          <w:sz w:val="22"/>
        </w:rPr>
        <w:pict w14:anchorId="6974B322">
          <v:shape id="_x0000_i1157" type="#_x0000_t75" alt="" style="width:61pt;height:40.4pt;mso-width-percent:0;mso-height-percent:0;mso-width-percent:0;mso-height-percent:0" equationxml="&lt;?xml version=&quot;1.0&quot; encoding=&quot;UTF-8&quot; standalone=&quot;yes&quot;?&gt;&#13;&#10;&#13;&#10;&lt;?mso-application progid=&quot;Word.Document&quot;?&gt;&#13;&#10;&#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91D&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D391D&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T&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Sup&gt;&lt;m:sSubSupPr&gt;&lt;m:ctrlPr&gt;&lt;w:rPr&gt;&lt;w:rFonts w:ascii=&quot;Cambria Math&quot; w:fareast=&quot;Times New Roman&quot; w:h-ansi=&quot;Cambria Math&quot; w:cs=&quot;Calibri Light&quot;/&gt;&lt;wx:font wx:val=&quot;Cambria Math&quot;/&gt;&lt;w:i/&gt;&lt;w:lang w:val=&quot;ES-TRAD&quot;/&gt;&lt;/w:rPr&gt;&lt;/m:ctrlPr&gt;&lt;/m:sSubSupPr&gt;&lt;m:e&gt;&lt;m:d&gt;&lt;m:dPr&gt;&lt;m:begChr m:val=&quot;[&quot;/&gt;&lt;m:endChr m:val=&quot;]&quot;/&gt;&lt;m:ctrlPr&gt;&lt;w:rPr&gt;&lt;w:rFonts w:ascii=&quot;Cambria Math&quot; w:fareast=&quot;Times New Roman&quot; w:h-ansi=&quot;Cambria Math&quot; w:cs=&quot;Calibri Light&quot;/&gt;&lt;wx:font wx:val=&quot;Cambria Math&quot;/&gt;&lt;w:i/&gt;&lt;w:lang w:val=&quot;ES-TRAD&quot;/&gt;&lt;/w:rPr&gt;&lt;/m:ctrlPr&gt;&lt;/m:dPr&gt;&lt;m:e&gt;&lt;m:m&gt;&lt;m:mPr&gt;&lt;m:mcs&gt;&lt;m:mc&gt;&lt;m:mcPr&gt;&lt;m:count m:val=&quot;1&quot;/&gt;&lt;m:mcJc m:val=&quot;center&quot;/&gt;&lt;/m:mcPr&gt;&lt;/m:mc&gt;&lt;/m:mcs&gt;&lt;m:ctrlPr&gt;&lt;w:rPr&gt;&lt;w:rFonts w:ascii=&quot;Cambria Math&quot; w:fareast=&quot;Times New Roman&quot; w:h-ansi=&quot;Cambria Math&quot; w:cs=&quot;Calibri Light&quot;/&gt;&lt;wx:font wx:val=&quot;Cambria Math&quot;/&gt;&lt;w:i/&gt;&lt;w:lang w:val=&quot;ES-TRAD&quot;/&gt;&lt;/w:rPr&gt;&lt;/m:ctrlPr&gt;&lt;/m:mPr&gt;&lt;m:m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e&gt;&lt;/m:mr&gt;&lt;m:m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e&gt;&lt;/m:mr&gt;&lt;m:m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e&gt;&lt;/m:mr&gt;&lt;/m:m&gt;&lt;/m:e&gt;&lt;/m:d&gt;&lt;/m:e&gt;&lt;m:sub&gt;&lt;m:r&gt;&lt;w:rPr&gt;&lt;w:rFonts w:ascii=&quot;Cambria Math&quot; w:fareast=&quot;Times New Roman&quot; w:h-ansi=&quot;Cambria Math&quot; w:cs=&quot;Calibri Light&quot;/&gt;&lt;wx:font wx:val=&quot;Cambria Math&quot;/&gt;&lt;w:i/&gt;&lt;w:lang w:val=&quot;ES-TRAD&quot;/&gt;&lt;/w:rPr&gt;&lt;m:t&gt;t=0&lt;/m:t&gt;&lt;/m:r&gt;&lt;/m:sub&gt;&lt;m:sup&gt;&lt;m:r&gt;&lt;w:rPr&gt;&lt;w:rFonts w:ascii=&quot;Cambria Math&quot; w:fareast=&quot;Times New Roman&quot; w:h-ansi=&quot;Cambria Math&quot; w:cs=&quot;Calibri Light&quot;/&gt;&lt;wx:font wx:val=&quot;Cambria Math&quot;/&gt;&lt;w:i/&gt;&lt;w:lang w:val=&quot;ES-TRAD&quot;/&gt;&lt;/w:rPr&gt;&lt;m:t&gt;âˆ_&lt;/m:t&gt;&lt;/m:r&gt;&lt;/m:sup&gt;&lt;/m:sSub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3" o:title="" chromakey="white"/>
          </v:shape>
        </w:pict>
      </w:r>
    </w:p>
    <w:p w14:paraId="1E7657FA" w14:textId="77777777" w:rsidR="00A85F2B" w:rsidRPr="00A85F2B" w:rsidRDefault="00A85F2B" w:rsidP="00A85F2B">
      <w:pPr>
        <w:ind w:firstLine="284"/>
        <w:rPr>
          <w:rFonts w:ascii="Calibri" w:hAnsi="Calibri" w:cs="Calibri"/>
          <w:sz w:val="22"/>
          <w:lang w:val="es-ES_tradnl"/>
        </w:rPr>
      </w:pPr>
      <w:r w:rsidRPr="00A85F2B">
        <w:rPr>
          <w:rFonts w:ascii="Calibri" w:hAnsi="Calibri" w:cs="Calibri"/>
          <w:sz w:val="22"/>
          <w:lang w:val="es-ES_tradnl"/>
        </w:rPr>
        <w:t xml:space="preserve">Por lo tanto, el equilibrio del modelo a partir de las matrices de estado estable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23837FA1">
          <v:shape id="_x0000_i1156" type="#_x0000_t75" alt="" style="width:11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0D04&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A0D04&quot;&gt;&lt;m:oMathPara&gt;&lt;m:oMath&gt;&lt;m:r&gt;&lt;w:rPr&gt;&lt;w:rFonts w:ascii=&quot;Cambria Math&quot; w:fareast=&quot;Times New Roman&quot; w:h-ansi=&quot;Cambria Math&quot; w:cs=&quot;Calibri Light&quot;/&gt;&lt;wx:font wx:val=&quot;Cambria Math&quot;/&gt;&lt;w:i/&gt;&lt;w:lang w:val=&quot;ES-TRAD&quot;/&gt;&lt;/w:rPr&gt;&lt;m:t&gt;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4"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275C251B">
          <v:shape id="_x0000_i1155" type="#_x0000_t75" alt="" style="width:11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0D04&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A0D04&quot;&gt;&lt;m:oMathPara&gt;&lt;m:oMath&gt;&lt;m:r&gt;&lt;w:rPr&gt;&lt;w:rFonts w:ascii=&quot;Cambria Math&quot; w:fareast=&quot;Times New Roman&quot; w:h-ansi=&quot;Cambria Math&quot; w:cs=&quot;Calibri Light&quot;/&gt;&lt;wx:font wx:val=&quot;Cambria Math&quot;/&gt;&lt;w:i/&gt;&lt;w:lang w:val=&quot;ES-TRAD&quot;/&gt;&lt;/w:rPr&gt;&lt;m:t&gt;A&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4"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 xml:space="preserve"> y </w:t>
      </w:r>
      <w:r w:rsidRPr="00A85F2B">
        <w:rPr>
          <w:rFonts w:ascii="Calibri" w:hAnsi="Calibri" w:cs="Calibri"/>
          <w:sz w:val="22"/>
          <w:lang w:val="es-ES_tradnl"/>
        </w:rPr>
        <w:fldChar w:fldCharType="begin"/>
      </w:r>
      <w:r w:rsidRPr="00A85F2B">
        <w:rPr>
          <w:rFonts w:ascii="Calibri" w:hAnsi="Calibri" w:cs="Calibri"/>
          <w:sz w:val="22"/>
          <w:lang w:val="es-ES_tradnl"/>
        </w:rPr>
        <w:instrText xml:space="preserve"> QUOTE </w:instrText>
      </w:r>
      <w:r w:rsidR="009B31E4" w:rsidRPr="009B31E4">
        <w:rPr>
          <w:rFonts w:ascii="Calibri" w:hAnsi="Calibri" w:cs="Calibri"/>
          <w:noProof/>
          <w:sz w:val="22"/>
        </w:rPr>
        <w:pict w14:anchorId="7830DB2B">
          <v:shape id="_x0000_i1154" type="#_x0000_t75" alt="" style="width:14.7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2661&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22661&quot;&gt;&lt;m:oMathPara&gt;&lt;m:oMath&gt;&lt;m:r&gt;&lt;w:rPr&gt;&lt;w:rFonts w:ascii=&quot;Cambria Math&quot; w:fareast=&quot;Times New Roman&quot; w:h-ansi=&quot;Cambria Math&quot; w:cs=&quot;Calibri Light&quot;/&gt;&lt;wx:font wx:val=&quot;Cambria Math&quot;/&gt;&lt;w:i/&gt;&lt;w:lang w:val=&quot;ES-TRAD&quot;/&gt;&lt;/w:rPr&gt;&lt;m:t&gt;B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5" o:title="" chromakey="white"/>
          </v:shape>
        </w:pict>
      </w:r>
      <w:r w:rsidRPr="00A85F2B">
        <w:rPr>
          <w:rFonts w:ascii="Calibri" w:hAnsi="Calibri" w:cs="Calibri"/>
          <w:sz w:val="22"/>
          <w:lang w:val="es-ES_tradnl"/>
        </w:rPr>
        <w:instrText xml:space="preserve"> </w:instrText>
      </w:r>
      <w:r w:rsidRPr="00A85F2B">
        <w:rPr>
          <w:rFonts w:ascii="Calibri" w:hAnsi="Calibri" w:cs="Calibri"/>
          <w:sz w:val="22"/>
          <w:lang w:val="es-ES_tradnl"/>
        </w:rPr>
        <w:fldChar w:fldCharType="separate"/>
      </w:r>
      <w:r w:rsidR="009B31E4" w:rsidRPr="009B31E4">
        <w:rPr>
          <w:rFonts w:ascii="Calibri" w:hAnsi="Calibri" w:cs="Calibri"/>
          <w:noProof/>
          <w:sz w:val="22"/>
        </w:rPr>
        <w:pict w14:anchorId="2849F932">
          <v:shape id="_x0000_i1153" type="#_x0000_t75" alt="" style="width:14.7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2661&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22661&quot;&gt;&lt;m:oMathPara&gt;&lt;m:oMath&gt;&lt;m:r&gt;&lt;w:rPr&gt;&lt;w:rFonts w:ascii=&quot;Cambria Math&quot; w:fareast=&quot;Times New Roman&quot; w:h-ansi=&quot;Cambria Math&quot; w:cs=&quot;Calibri Light&quot;/&gt;&lt;wx:font wx:val=&quot;Cambria Math&quot;/&gt;&lt;w:i/&gt;&lt;w:lang w:val=&quot;ES-TRAD&quot;/&gt;&lt;/w:rPr&gt;&lt;m:t&gt;B &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5" o:title="" chromakey="white"/>
          </v:shape>
        </w:pict>
      </w:r>
      <w:r w:rsidRPr="00A85F2B">
        <w:rPr>
          <w:rFonts w:ascii="Calibri" w:hAnsi="Calibri" w:cs="Calibri"/>
          <w:sz w:val="22"/>
          <w:lang w:val="es-ES_tradnl"/>
        </w:rPr>
        <w:fldChar w:fldCharType="end"/>
      </w:r>
      <w:r w:rsidRPr="00A85F2B">
        <w:rPr>
          <w:rFonts w:ascii="Calibri" w:hAnsi="Calibri" w:cs="Calibri"/>
          <w:sz w:val="22"/>
          <w:lang w:val="es-ES_tradnl"/>
        </w:rPr>
        <w:t>se presentará cuando:</w:t>
      </w:r>
    </w:p>
    <w:p w14:paraId="3D19C55F" w14:textId="77777777" w:rsidR="00A85F2B" w:rsidRPr="00A85F2B" w:rsidRDefault="009B31E4" w:rsidP="00A85F2B">
      <w:pPr>
        <w:jc w:val="center"/>
        <w:rPr>
          <w:rFonts w:ascii="Calibri" w:hAnsi="Calibri" w:cs="Calibri"/>
          <w:sz w:val="22"/>
          <w:lang w:val="es-ES_tradnl"/>
        </w:rPr>
      </w:pPr>
      <w:r w:rsidRPr="009B31E4">
        <w:rPr>
          <w:rFonts w:ascii="Calibri" w:hAnsi="Calibri" w:cs="Calibri"/>
          <w:noProof/>
          <w:sz w:val="22"/>
        </w:rPr>
        <w:pict w14:anchorId="796533D2">
          <v:shape id="_x0000_i1152" type="#_x0000_t75" alt="" style="width:110.9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20C5&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B20C5&quot;&gt;&lt;m:oMathPara&gt;&lt;m:oMath&gt;&lt;m:sSub&gt;&lt;m:sSubPr&gt;&lt;m:ctrlPr&gt;&lt;w:rPr&gt;&lt;w:rFonts w:ascii=&quot;Cambria Math&quot; w:fareast=&quot;Times New Roman&quot; w:h-ansi=&quot;Cambria Math&quot; w:cs=&quot;Calibri Light&quot;/&gt;&lt;wx:font wx:val=&quot;Cambria Math&quot;/&gt;&lt;w:i/&gt;&lt;w:lang w:val=&quot;ES-TRAD&quot;/&gt;&lt;/w:rPr&gt;&lt;/m:ctrlPr&gt;&lt;/m:sSubPr&gt;&lt;m:e&gt;&lt;m:r&gt;&lt;w:rPr&gt;&lt;w:rFonts w:ascii=&quot;Cambria Math&quot; w:fareast=&quot;Times New Roman&quot; w:h-ansi=&quot;Cambria Math&quot; w:cs=&quot;Calibri Light&quot;/&gt;&lt;wx:font wx:val=&quot;Cambria Math&quot;/&gt;&lt;w:i/&gt;&lt;w:lang w:val=&quot;ES-TRAD&quot;/&gt;&lt;/w:rPr&gt;&lt;m:t&gt;A&lt;/m:t&gt;&lt;/m:r&gt;&lt;/m:e&gt;&lt;m:sub&gt;&lt;m:r&gt;&lt;w:rPr&gt;&lt;w:rFonts w:ascii=&quot;Cambria Math&quot; w:fareast=&quot;Times New Roman&quot; w:h-ansi=&quot;Cambria Math&quot; w:cs=&quot;Calibri Light&quot;/&gt;&lt;wx:font wx:val=&quot;Cambria Math&quot;/&gt;&lt;w:i/&gt;&lt;w:lang w:val=&quot;ES-TRAD&quot;/&gt;&lt;/w:rPr&gt;&lt;m:t&gt;22Ã—22&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T&lt;/m:t&gt;&lt;/m:r&gt;&lt;/m:e&gt;&lt;m:sub&gt;&lt;m:r&gt;&lt;w:rPr&gt;&lt;w:rFonts w:ascii=&quot;Cambria Math&quot; w:h-ansi=&quot;Cambria Math&quot; w:cs=&quot;Calibri Light&quot;/&gt;&lt;wx:font wx:val=&quot;Cambria Math&quot;/&gt;&lt;w:i/&gt;&lt;w:lang w:val=&quot;ES-TRAD&quot;/&gt;&lt;/w:rPr&gt;&lt;m:t&gt;t&lt;/m:t&gt;&lt;/m:r&gt;&lt;/m:sub&gt;&lt;/m:sSub&gt;&lt;m:r&gt;&lt;w:rPr&gt;&lt;w:rFonts w:ascii=&quot;Cambria Math&quot; w:h-ansi=&quot;Cambria Math&quot; w:cs=&quot;Calibri Light&quot;/&gt;&lt;wx:font wx:val=&quot;Cambria Math&quot;/&gt;&lt;w:i/&gt;&lt;w:lang w:val=&quot;ES-TRAD&quot;/&gt;&lt;/w:rPr&gt;&lt;m:t&gt;=&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B&lt;/m:t&gt;&lt;/m:r&gt;&lt;/m:e&gt;&lt;m:sub&gt;&lt;m:r&gt;&lt;w:rPr&gt;&lt;w:rFonts w:ascii=&quot;Cambria Math&quot; w:h-ansi=&quot;Cambria Math&quot; w:cs=&quot;Calibri Light&quot;/&gt;&lt;wx:font wx:val=&quot;Cambria Math&quot;/&gt;&lt;w:i/&gt;&lt;w:lang w:val=&quot;ES-TRAD&quot;/&gt;&lt;/w:rPr&gt;&lt;m:t&gt;22Ã—22&lt;/m:t&gt;&lt;/m:r&gt;&lt;/m:sub&gt;&lt;/m:sSub&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T&lt;/m:t&gt;&lt;/m:r&gt;&lt;/m:e&gt;&lt;m:sub&gt;&lt;m:r&gt;&lt;w:rPr&gt;&lt;w:rFonts w:ascii=&quot;Cambria Math&quot; w:h-ansi=&quot;Cambria Math&quot; w:cs=&quot;Calibri Light&quot;/&gt;&lt;wx:font wx:val=&quot;Cambria Math&quot;/&gt;&lt;w:i/&gt;&lt;w:lang w:val=&quot;ES-TRAD&quot;/&gt;&lt;/w:rPr&gt;&lt;m:t&gt;t+1&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36" o:title="" chromakey="white"/>
          </v:shape>
        </w:pict>
      </w:r>
    </w:p>
    <w:p w14:paraId="20B5A627" w14:textId="77777777" w:rsidR="00A85F2B" w:rsidRPr="00A85F2B" w:rsidRDefault="00A85F2B" w:rsidP="00A85F2B">
      <w:pPr>
        <w:autoSpaceDE w:val="0"/>
        <w:autoSpaceDN w:val="0"/>
        <w:adjustRightInd w:val="0"/>
        <w:rPr>
          <w:rFonts w:ascii="Calibri" w:hAnsi="Calibri" w:cs="Calibri"/>
          <w:sz w:val="22"/>
        </w:rPr>
      </w:pPr>
    </w:p>
    <w:p w14:paraId="73B3FB6F" w14:textId="6D406DAD" w:rsidR="00A85F2B" w:rsidRPr="00A85F2B" w:rsidRDefault="00A85F2B" w:rsidP="00A85F2B">
      <w:pPr>
        <w:autoSpaceDE w:val="0"/>
        <w:autoSpaceDN w:val="0"/>
        <w:adjustRightInd w:val="0"/>
        <w:ind w:firstLine="284"/>
        <w:rPr>
          <w:rFonts w:ascii="Calibri" w:hAnsi="Calibri" w:cs="Calibri"/>
          <w:sz w:val="22"/>
        </w:rPr>
      </w:pPr>
      <w:r w:rsidRPr="00A85F2B">
        <w:rPr>
          <w:rFonts w:ascii="Calibri" w:hAnsi="Calibri" w:cs="Calibri"/>
          <w:sz w:val="22"/>
        </w:rPr>
        <w:t>Asumiendo que las variables de estado exógenas siguen procesos AR (1) independientes, como ya se describieron</w:t>
      </w:r>
      <w:r w:rsidRPr="00A85F2B">
        <w:rPr>
          <w:rFonts w:ascii="Calibri" w:hAnsi="Calibri" w:cs="Calibri"/>
          <w:sz w:val="22"/>
        </w:rPr>
        <w:t>.</w:t>
      </w:r>
    </w:p>
    <w:p w14:paraId="5AC1C649" w14:textId="77777777" w:rsidR="00A85F2B" w:rsidRPr="00A85F2B" w:rsidRDefault="00A85F2B" w:rsidP="00A85F2B">
      <w:pPr>
        <w:autoSpaceDE w:val="0"/>
        <w:autoSpaceDN w:val="0"/>
        <w:adjustRightInd w:val="0"/>
        <w:rPr>
          <w:rFonts w:ascii="Calibri" w:hAnsi="Calibri" w:cs="Calibri"/>
          <w:sz w:val="22"/>
        </w:rPr>
      </w:pPr>
    </w:p>
    <w:p w14:paraId="092C8F25" w14:textId="404F0A69" w:rsidR="00A85F2B" w:rsidRPr="00A85F2B" w:rsidRDefault="00A85F2B" w:rsidP="00A85F2B">
      <w:pPr>
        <w:autoSpaceDE w:val="0"/>
        <w:autoSpaceDN w:val="0"/>
        <w:adjustRightInd w:val="0"/>
        <w:rPr>
          <w:rFonts w:ascii="Calibri" w:hAnsi="Calibri" w:cs="Calibri"/>
          <w:i/>
          <w:sz w:val="22"/>
        </w:rPr>
      </w:pPr>
      <w:r w:rsidRPr="00A85F2B">
        <w:rPr>
          <w:rFonts w:ascii="Calibri" w:hAnsi="Calibri" w:cs="Calibri"/>
          <w:i/>
          <w:sz w:val="22"/>
        </w:rPr>
        <w:t xml:space="preserve">Tabla 2. </w:t>
      </w:r>
      <w:r w:rsidRPr="00A85F2B">
        <w:rPr>
          <w:rFonts w:ascii="Calibri" w:hAnsi="Calibri" w:cs="Calibri"/>
          <w:i/>
          <w:sz w:val="22"/>
        </w:rPr>
        <w:t xml:space="preserve">Grado de exogeneidad de las variables control </w:t>
      </w:r>
      <w:r w:rsidRPr="00A85F2B">
        <w:rPr>
          <w:rFonts w:ascii="Calibri" w:hAnsi="Calibri" w:cs="Calibri"/>
          <w:sz w:val="22"/>
        </w:rPr>
        <w:fldChar w:fldCharType="begin"/>
      </w:r>
      <w:r w:rsidRPr="00A85F2B">
        <w:rPr>
          <w:rFonts w:ascii="Calibri" w:hAnsi="Calibri" w:cs="Calibri"/>
          <w:sz w:val="22"/>
        </w:rPr>
        <w:instrText xml:space="preserve"> QUOTE </w:instrText>
      </w:r>
      <w:r w:rsidR="009B31E4" w:rsidRPr="009B31E4">
        <w:rPr>
          <w:rFonts w:ascii="Calibri" w:hAnsi="Calibri" w:cs="Calibri"/>
          <w:noProof/>
          <w:position w:val="-20"/>
          <w:sz w:val="22"/>
        </w:rPr>
        <w:pict w14:anchorId="2789BE14">
          <v:shape id="_x0000_i1151" type="#_x0000_t75" alt="" style="width:21.3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403D&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Default=&quot;00C0403D&quot; wsp:rsidP=&quot;00C0403D&quot;&gt;&lt;m:oMathPara&gt;&lt;m:oMath&gt;&lt;m:d&gt;&lt;m:dPr&gt;&lt;m:ctrlPr&gt;&lt;w:rPr&gt;&lt;w:rFonts w:ascii=&quot;Cambria Math&quot; w:h-ansi=&quot;Cambria Math&quot;/&gt;&lt;wx:font wx:val=&quot;Cambria Math&quot;/&gt;&lt;w:i/&gt;&lt;/w:rPr&gt;&lt;/m:ctrlPr&gt;&lt;/m:dPr&gt;&lt;m:e&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X&lt;/m:t&gt;&lt;/m:r&gt;&lt;/m:e&gt;&lt;m:sub&gt;&lt;m:r&gt;&lt;w:rPr&gt;&lt;w:rFonts w:ascii=&quot;Cambria Math&quot; w:h-ansi=&quot;Cambria Math&quot; w:cs=&quot;Cambria&quot;/&gt;&lt;wx:font wx:val=&quot;Cambria Math&quot;/&gt;&lt;w:i/&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37" o:title="" chromakey="white"/>
          </v:shape>
        </w:pict>
      </w:r>
      <w:r w:rsidRPr="00A85F2B">
        <w:rPr>
          <w:rFonts w:ascii="Calibri" w:hAnsi="Calibri" w:cs="Calibri"/>
          <w:sz w:val="22"/>
        </w:rPr>
        <w:instrText xml:space="preserve"> </w:instrText>
      </w:r>
      <w:r w:rsidRPr="00A85F2B">
        <w:rPr>
          <w:rFonts w:ascii="Calibri" w:hAnsi="Calibri" w:cs="Calibri"/>
          <w:sz w:val="22"/>
        </w:rPr>
        <w:fldChar w:fldCharType="separate"/>
      </w:r>
      <w:r w:rsidR="009B31E4" w:rsidRPr="009B31E4">
        <w:rPr>
          <w:rFonts w:ascii="Calibri" w:hAnsi="Calibri" w:cs="Calibri"/>
          <w:noProof/>
          <w:position w:val="-20"/>
          <w:sz w:val="22"/>
        </w:rPr>
        <w:pict w14:anchorId="44952D19">
          <v:shape id="_x0000_i1150" type="#_x0000_t75" alt="" style="width:21.3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403D&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Default=&quot;00C0403D&quot; wsp:rsidP=&quot;00C0403D&quot;&gt;&lt;m:oMathPara&gt;&lt;m:oMath&gt;&lt;m:d&gt;&lt;m:dPr&gt;&lt;m:ctrlPr&gt;&lt;w:rPr&gt;&lt;w:rFonts w:ascii=&quot;Cambria Math&quot; w:h-ansi=&quot;Cambria Math&quot;/&gt;&lt;wx:font wx:val=&quot;Cambria Math&quot;/&gt;&lt;w:i/&gt;&lt;/w:rPr&gt;&lt;/m:ctrlPr&gt;&lt;/m:dPr&gt;&lt;m:e&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X&lt;/m:t&gt;&lt;/m:r&gt;&lt;/m:e&gt;&lt;m:sub&gt;&lt;m:r&gt;&lt;w:rPr&gt;&lt;w:rFonts w:ascii=&quot;Cambria Math&quot; w:h-ansi=&quot;Cambria Math&quot; w:cs=&quot;Cambria&quot;/&gt;&lt;wx:font wx:val=&quot;Cambria Math&quot;/&gt;&lt;w:i/&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37" o:title="" chromakey="white"/>
          </v:shape>
        </w:pict>
      </w:r>
      <w:r w:rsidRPr="00A85F2B">
        <w:rPr>
          <w:rFonts w:ascii="Calibri" w:hAnsi="Calibri" w:cs="Calibri"/>
          <w:sz w:val="22"/>
        </w:rPr>
        <w:fldChar w:fldCharType="end"/>
      </w:r>
      <w:r w:rsidRPr="00A85F2B">
        <w:rPr>
          <w:rFonts w:ascii="Calibri" w:hAnsi="Calibri" w:cs="Calibri"/>
          <w:i/>
          <w:sz w:val="22"/>
        </w:rPr>
        <w:t>.</w:t>
      </w:r>
    </w:p>
    <w:tbl>
      <w:tblPr>
        <w:tblW w:w="0" w:type="auto"/>
        <w:jc w:val="center"/>
        <w:tblBorders>
          <w:top w:val="single" w:sz="6" w:space="0" w:color="auto"/>
          <w:bottom w:val="single" w:sz="6" w:space="0" w:color="auto"/>
          <w:insideH w:val="single" w:sz="6" w:space="0" w:color="auto"/>
        </w:tblBorders>
        <w:tblLayout w:type="fixed"/>
        <w:tblCellMar>
          <w:left w:w="57" w:type="dxa"/>
          <w:right w:w="57" w:type="dxa"/>
        </w:tblCellMar>
        <w:tblLook w:val="00A0" w:firstRow="1" w:lastRow="0" w:firstColumn="1" w:lastColumn="0" w:noHBand="0" w:noVBand="0"/>
      </w:tblPr>
      <w:tblGrid>
        <w:gridCol w:w="1251"/>
        <w:gridCol w:w="2716"/>
      </w:tblGrid>
      <w:tr w:rsidR="00A85F2B" w:rsidRPr="00A85F2B" w14:paraId="0421B664" w14:textId="77777777" w:rsidTr="00E37438">
        <w:trPr>
          <w:jc w:val="center"/>
        </w:trPr>
        <w:tc>
          <w:tcPr>
            <w:tcW w:w="1251" w:type="dxa"/>
          </w:tcPr>
          <w:p w14:paraId="0D7C36B7" w14:textId="77777777" w:rsidR="00A85F2B" w:rsidRPr="00A85F2B" w:rsidRDefault="00A85F2B" w:rsidP="00E37438">
            <w:pPr>
              <w:autoSpaceDE w:val="0"/>
              <w:autoSpaceDN w:val="0"/>
              <w:adjustRightInd w:val="0"/>
              <w:jc w:val="center"/>
              <w:rPr>
                <w:rFonts w:ascii="Calibri" w:hAnsi="Calibri" w:cs="Calibri"/>
                <w:b/>
                <w:sz w:val="22"/>
              </w:rPr>
            </w:pPr>
            <w:r w:rsidRPr="00A85F2B">
              <w:rPr>
                <w:rFonts w:ascii="Calibri" w:hAnsi="Calibri" w:cs="Calibri"/>
                <w:b/>
                <w:sz w:val="22"/>
              </w:rPr>
              <w:t>Variable</w:t>
            </w:r>
          </w:p>
        </w:tc>
        <w:tc>
          <w:tcPr>
            <w:tcW w:w="2716" w:type="dxa"/>
          </w:tcPr>
          <w:p w14:paraId="714BCDC3" w14:textId="77777777" w:rsidR="00A85F2B" w:rsidRPr="00A85F2B" w:rsidRDefault="00A85F2B" w:rsidP="00E37438">
            <w:pPr>
              <w:autoSpaceDE w:val="0"/>
              <w:autoSpaceDN w:val="0"/>
              <w:adjustRightInd w:val="0"/>
              <w:jc w:val="center"/>
              <w:rPr>
                <w:rFonts w:ascii="Calibri" w:hAnsi="Calibri" w:cs="Calibri"/>
                <w:b/>
                <w:sz w:val="22"/>
              </w:rPr>
            </w:pPr>
            <w:r w:rsidRPr="00A85F2B">
              <w:rPr>
                <w:rFonts w:ascii="Calibri" w:hAnsi="Calibri" w:cs="Calibri"/>
                <w:b/>
                <w:sz w:val="22"/>
              </w:rPr>
              <w:t>Grado de exogeneidad</w:t>
            </w:r>
          </w:p>
        </w:tc>
      </w:tr>
      <w:tr w:rsidR="00A85F2B" w:rsidRPr="00A85F2B" w14:paraId="2E8FE378" w14:textId="77777777" w:rsidTr="00E37438">
        <w:trPr>
          <w:jc w:val="center"/>
        </w:trPr>
        <w:tc>
          <w:tcPr>
            <w:tcW w:w="1251" w:type="dxa"/>
          </w:tcPr>
          <w:p w14:paraId="1C5EDA3F"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7568992C">
                <v:shape id="_x0000_i1149" type="#_x0000_t75" alt="" style="width:10.3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0E35&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1C0E35&quot; wsp:rsidRDefault=&quot;001C0E35&quot; wsp:rsidP=&quot;001C0E35&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y&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1C0E35&quot;&gt;&lt;w:pgSz w:w=&quot;12240&quot; w:h=&quot;15840&quot;/&gt;&lt;w:pgMar w:top=&quot;1417&quot; w:right=&quot;1701&quot; w:bottom=&quot;1417&quot; w:left=&quot;1701&quot; w:header=&quot;720&quot; w:footer=&quot;720&quot; w:gutter=&quot;0&quot;/&gt;&lt;w:cols w:space=&quot;720&quot;/&gt;&lt;/w:sectPr&gt;&lt;/wx:sect&gt;&lt;/w:body&gt;&lt;/w:wordDocument&gt;">
                  <v:imagedata r:id="rId38" o:title="" chromakey="white"/>
                </v:shape>
              </w:pict>
            </w:r>
          </w:p>
        </w:tc>
        <w:tc>
          <w:tcPr>
            <w:tcW w:w="2716" w:type="dxa"/>
            <w:vAlign w:val="center"/>
          </w:tcPr>
          <w:p w14:paraId="7DE75409"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Exogeneidad fuerte</w:t>
            </w:r>
          </w:p>
        </w:tc>
      </w:tr>
      <w:tr w:rsidR="00A85F2B" w:rsidRPr="00A85F2B" w14:paraId="50DD9113" w14:textId="77777777" w:rsidTr="00E37438">
        <w:trPr>
          <w:jc w:val="center"/>
        </w:trPr>
        <w:tc>
          <w:tcPr>
            <w:tcW w:w="1251" w:type="dxa"/>
          </w:tcPr>
          <w:p w14:paraId="6116325B"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64D52A6D">
                <v:shape id="_x0000_i1148" type="#_x0000_t75" alt="" style="width:8.8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061&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5D1061&quot; wsp:rsidRDefault=&quot;005D1061&quot; wsp:rsidP=&quot;005D1061&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r&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5D1061&quot;&gt;&lt;w:pgSz w:w=&quot;12240&quot; w:h=&quot;15840&quot;/&gt;&lt;w:pgMar w:top=&quot;1417&quot; w:right=&quot;1701&quot; w:bottom=&quot;1417&quot; w:left=&quot;1701&quot; w:header=&quot;720&quot; w:footer=&quot;720&quot; w:gutter=&quot;0&quot;/&gt;&lt;w:cols w:space=&quot;720&quot;/&gt;&lt;/w:sectPr&gt;&lt;/wx:sect&gt;&lt;/w:body&gt;&lt;/w:wordDocument&gt;">
                  <v:imagedata r:id="rId39" o:title="" chromakey="white"/>
                </v:shape>
              </w:pict>
            </w:r>
          </w:p>
        </w:tc>
        <w:tc>
          <w:tcPr>
            <w:tcW w:w="2716" w:type="dxa"/>
            <w:vAlign w:val="center"/>
          </w:tcPr>
          <w:p w14:paraId="2B96BD01"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No es exógena</w:t>
            </w:r>
          </w:p>
        </w:tc>
      </w:tr>
      <w:tr w:rsidR="00A85F2B" w:rsidRPr="00A85F2B" w14:paraId="56914853" w14:textId="77777777" w:rsidTr="00E37438">
        <w:trPr>
          <w:jc w:val="center"/>
        </w:trPr>
        <w:tc>
          <w:tcPr>
            <w:tcW w:w="1251" w:type="dxa"/>
          </w:tcPr>
          <w:p w14:paraId="5F136B34"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2F1998EF">
                <v:shape id="_x0000_i1147" type="#_x0000_t75" alt="" style="width:10.3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74F&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62174F&quot; wsp:rsidRDefault=&quot;0062174F&quot; wsp:rsidP=&quot;0062174F&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q&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62174F&quot;&gt;&lt;w:pgSz w:w=&quot;12240&quot; w:h=&quot;15840&quot;/&gt;&lt;w:pgMar w:top=&quot;1417&quot; w:right=&quot;1701&quot; w:bottom=&quot;1417&quot; w:left=&quot;1701&quot; w:header=&quot;720&quot; w:footer=&quot;720&quot; w:gutter=&quot;0&quot;/&gt;&lt;w:cols w:space=&quot;720&quot;/&gt;&lt;/w:sectPr&gt;&lt;/wx:sect&gt;&lt;/w:body&gt;&lt;/w:wordDocument&gt;">
                  <v:imagedata r:id="rId40" o:title="" chromakey="white"/>
                </v:shape>
              </w:pict>
            </w:r>
          </w:p>
        </w:tc>
        <w:tc>
          <w:tcPr>
            <w:tcW w:w="2716" w:type="dxa"/>
            <w:vAlign w:val="center"/>
          </w:tcPr>
          <w:p w14:paraId="070499EA"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No es exógena</w:t>
            </w:r>
          </w:p>
        </w:tc>
      </w:tr>
      <w:tr w:rsidR="00A85F2B" w:rsidRPr="00A85F2B" w14:paraId="32DD1C97" w14:textId="77777777" w:rsidTr="00E37438">
        <w:trPr>
          <w:jc w:val="center"/>
        </w:trPr>
        <w:tc>
          <w:tcPr>
            <w:tcW w:w="1251" w:type="dxa"/>
          </w:tcPr>
          <w:p w14:paraId="1E907956"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7A106B94">
                <v:shape id="_x0000_i1146" type="#_x0000_t75" alt="" style="width:16.15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68A9&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2268A9&quot; wsp:rsidRDefault=&quot;002268A9&quot; wsp:rsidP=&quot;002268A9&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df&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2268A9&quot;&gt;&lt;w:pgSz w:w=&quot;12240&quot; w:h=&quot;15840&quot;/&gt;&lt;w:pgMar w:top=&quot;1417&quot; w:right=&quot;1701&quot; w:bottom=&quot;1417&quot; w:left=&quot;1701&quot; w:header=&quot;720&quot; w:footer=&quot;720&quot; w:gutter=&quot;0&quot;/&gt;&lt;w:cols w:space=&quot;720&quot;/&gt;&lt;/w:sectPr&gt;&lt;/wx:sect&gt;&lt;/w:body&gt;&lt;/w:wordDocument&gt;">
                  <v:imagedata r:id="rId41" o:title="" chromakey="white"/>
                </v:shape>
              </w:pict>
            </w:r>
          </w:p>
        </w:tc>
        <w:tc>
          <w:tcPr>
            <w:tcW w:w="2716" w:type="dxa"/>
            <w:vAlign w:val="center"/>
          </w:tcPr>
          <w:p w14:paraId="278BA246"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No es exógena</w:t>
            </w:r>
          </w:p>
        </w:tc>
      </w:tr>
      <w:tr w:rsidR="00A85F2B" w:rsidRPr="00A85F2B" w14:paraId="6C95A1FB" w14:textId="77777777" w:rsidTr="00E37438">
        <w:trPr>
          <w:jc w:val="center"/>
        </w:trPr>
        <w:tc>
          <w:tcPr>
            <w:tcW w:w="1251" w:type="dxa"/>
          </w:tcPr>
          <w:p w14:paraId="679E996E"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lastRenderedPageBreak/>
              <w:pict w14:anchorId="78B00D40">
                <v:shape id="_x0000_i1145" type="#_x0000_t75" alt="" style="width:11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02B8&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6C02B8&quot; wsp:rsidRDefault=&quot;006C02B8&quot; wsp:rsidP=&quot;006C02B8&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Ï€&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6C02B8&quot;&gt;&lt;w:pgSz w:w=&quot;12240&quot; w:h=&quot;15840&quot;/&gt;&lt;w:pgMar w:top=&quot;1417&quot; w:right=&quot;1701&quot; w:bottom=&quot;1417&quot; w:left=&quot;1701&quot; w:header=&quot;720&quot; w:footer=&quot;720&quot; w:gutter=&quot;0&quot;/&gt;&lt;w:cols w:space=&quot;720&quot;/&gt;&lt;/w:sectPr&gt;&lt;/wx:sect&gt;&lt;/w:body&gt;&lt;/w:wordDocument&gt;">
                  <v:imagedata r:id="rId42" o:title="" chromakey="white"/>
                </v:shape>
              </w:pict>
            </w:r>
          </w:p>
        </w:tc>
        <w:tc>
          <w:tcPr>
            <w:tcW w:w="2716" w:type="dxa"/>
            <w:vAlign w:val="center"/>
          </w:tcPr>
          <w:p w14:paraId="4A71033A"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Exogeneidad fuerte</w:t>
            </w:r>
          </w:p>
        </w:tc>
      </w:tr>
      <w:tr w:rsidR="00A85F2B" w:rsidRPr="00A85F2B" w14:paraId="3DF19D3A" w14:textId="77777777" w:rsidTr="00E37438">
        <w:trPr>
          <w:jc w:val="center"/>
        </w:trPr>
        <w:tc>
          <w:tcPr>
            <w:tcW w:w="1251" w:type="dxa"/>
          </w:tcPr>
          <w:p w14:paraId="43741930"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3C005EEB">
                <v:shape id="_x0000_i1144" type="#_x0000_t75" alt="" style="width:8.1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5BD6&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D25BD6&quot; wsp:rsidRDefault=&quot;00D25BD6&quot; wsp:rsidP=&quot;00D25BD6&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i&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D25BD6&quot;&gt;&lt;w:pgSz w:w=&quot;12240&quot; w:h=&quot;15840&quot;/&gt;&lt;w:pgMar w:top=&quot;1417&quot; w:right=&quot;1701&quot; w:bottom=&quot;1417&quot; w:left=&quot;1701&quot; w:header=&quot;720&quot; w:footer=&quot;720&quot; w:gutter=&quot;0&quot;/&gt;&lt;w:cols w:space=&quot;720&quot;/&gt;&lt;/w:sectPr&gt;&lt;/wx:sect&gt;&lt;/w:body&gt;&lt;/w:wordDocument&gt;">
                  <v:imagedata r:id="rId43" o:title="" chromakey="white"/>
                </v:shape>
              </w:pict>
            </w:r>
          </w:p>
        </w:tc>
        <w:tc>
          <w:tcPr>
            <w:tcW w:w="2716" w:type="dxa"/>
            <w:vAlign w:val="center"/>
          </w:tcPr>
          <w:p w14:paraId="57F71BC8"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Exogeneidad fuerte</w:t>
            </w:r>
          </w:p>
        </w:tc>
      </w:tr>
      <w:tr w:rsidR="00A85F2B" w:rsidRPr="00A85F2B" w14:paraId="25BFBF86" w14:textId="77777777" w:rsidTr="00E37438">
        <w:trPr>
          <w:jc w:val="center"/>
        </w:trPr>
        <w:tc>
          <w:tcPr>
            <w:tcW w:w="1251" w:type="dxa"/>
          </w:tcPr>
          <w:p w14:paraId="79297E2D"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22AF798F">
                <v:shape id="_x0000_i1143" type="#_x0000_t75" alt="" style="width:14.7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E7F10&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AE7F10&quot; wsp:rsidRDefault=&quot;00AE7F10&quot; wsp:rsidP=&quot;00AE7F10&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er&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AE7F10&quot;&gt;&lt;w:pgSz w:w=&quot;12240&quot; w:h=&quot;15840&quot;/&gt;&lt;w:pgMar w:top=&quot;1417&quot; w:right=&quot;1701&quot; w:bottom=&quot;1417&quot; w:left=&quot;1701&quot; w:header=&quot;720&quot; w:footer=&quot;720&quot; w:gutter=&quot;0&quot;/&gt;&lt;w:cols w:space=&quot;720&quot;/&gt;&lt;/w:sectPr&gt;&lt;/wx:sect&gt;&lt;/w:body&gt;&lt;/w:wordDocument&gt;">
                  <v:imagedata r:id="rId44" o:title="" chromakey="white"/>
                </v:shape>
              </w:pict>
            </w:r>
          </w:p>
        </w:tc>
        <w:tc>
          <w:tcPr>
            <w:tcW w:w="2716" w:type="dxa"/>
            <w:vAlign w:val="center"/>
          </w:tcPr>
          <w:p w14:paraId="47DA88D2"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No es exógena</w:t>
            </w:r>
          </w:p>
        </w:tc>
      </w:tr>
      <w:tr w:rsidR="00A85F2B" w:rsidRPr="00A85F2B" w14:paraId="3EFF34D8" w14:textId="77777777" w:rsidTr="00E37438">
        <w:trPr>
          <w:jc w:val="center"/>
        </w:trPr>
        <w:tc>
          <w:tcPr>
            <w:tcW w:w="1251" w:type="dxa"/>
          </w:tcPr>
          <w:p w14:paraId="48234C59" w14:textId="77777777" w:rsidR="00A85F2B" w:rsidRPr="00A85F2B" w:rsidRDefault="009B31E4" w:rsidP="00E37438">
            <w:pPr>
              <w:autoSpaceDE w:val="0"/>
              <w:autoSpaceDN w:val="0"/>
              <w:adjustRightInd w:val="0"/>
              <w:jc w:val="center"/>
              <w:rPr>
                <w:rFonts w:ascii="Calibri" w:hAnsi="Calibri" w:cs="Calibri"/>
                <w:sz w:val="22"/>
              </w:rPr>
            </w:pPr>
            <w:r w:rsidRPr="009B31E4">
              <w:rPr>
                <w:rFonts w:ascii="Calibri" w:hAnsi="Calibri" w:cs="Calibri"/>
                <w:noProof/>
                <w:sz w:val="22"/>
              </w:rPr>
              <w:pict w14:anchorId="16F1605C">
                <v:shape id="_x0000_i1142" type="#_x0000_t75" alt="" style="width:16.15pt;height:21.3pt;mso-width-percent:0;mso-height-percent:0;mso-width-percent:0;mso-height-percent:0" equationxml="&lt;?xml version=&quot;1.0&quot; encoding=&quot;UTF-8&quot; standalone=&quot;yes&quot;?&gt;&#13;&#13;&#13;&#13;&#10;&lt;?mso-application progid=&quot;Word.Document&quot;?&gt;&#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284&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0B93&quot;/&gt;&lt;wsp:rsid wsp:val=&quot;000134AF&quot;/&gt;&lt;wsp:rsid wsp:val=&quot;00015B5B&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2FA0&quot;/&gt;&lt;wsp:rsid wsp:val=&quot;00043781&quot;/&gt;&lt;wsp:rsid wsp:val=&quot;00044331&quot;/&gt;&lt;wsp:rsid wsp:val=&quot;00046CB2&quot;/&gt;&lt;wsp:rsid wsp:val=&quot;00047373&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3CD2&quot;/&gt;&lt;wsp:rsid wsp:val=&quot;00064A28&quot;/&gt;&lt;wsp:rsid wsp:val=&quot;000659E9&quot;/&gt;&lt;wsp:rsid wsp:val=&quot;0006603B&quot;/&gt;&lt;wsp:rsid wsp:val=&quot;000679DE&quot;/&gt;&lt;wsp:rsid wsp:val=&quot;00070C46&quot;/&gt;&lt;wsp:rsid wsp:val=&quot;00071999&quot;/&gt;&lt;wsp:rsid wsp:val=&quot;00071E3D&quot;/&gt;&lt;wsp:rsid wsp:val=&quot;00071F5C&quot;/&gt;&lt;wsp:rsid wsp:val=&quot;00072100&quot;/&gt;&lt;wsp:rsid wsp:val=&quot;00072E3E&quot;/&gt;&lt;wsp:rsid wsp:val=&quot;000734E5&quot;/&gt;&lt;wsp:rsid wsp:val=&quot;00074462&quot;/&gt;&lt;wsp:rsid wsp:val=&quot;000754EE&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86DA7&quot;/&gt;&lt;wsp:rsid wsp:val=&quot;00087193&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A635F&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1D1&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24B1&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6DE2&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0D23&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B7686&quot;/&gt;&lt;wsp:rsid wsp:val=&quot;001C03DD&quot;/&gt;&lt;wsp:rsid wsp:val=&quot;001C0A43&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1E0&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5FE&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1264&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5735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B77AD&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6BFD&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1AC2&quot;/&gt;&lt;wsp:rsid wsp:val=&quot;003536BD&quot;/&gt;&lt;wsp:rsid wsp:val=&quot;003547CF&quot;/&gt;&lt;wsp:rsid wsp:val=&quot;003554C4&quot;/&gt;&lt;wsp:rsid wsp:val=&quot;0035723A&quot;/&gt;&lt;wsp:rsid wsp:val=&quot;00357339&quot;/&gt;&lt;wsp:rsid wsp:val=&quot;00357E41&quot;/&gt;&lt;wsp:rsid wsp:val=&quot;00357E55&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9AF&quot;/&gt;&lt;wsp:rsid wsp:val=&quot;00394B3D&quot;/&gt;&lt;wsp:rsid wsp:val=&quot;00395505&quot;/&gt;&lt;wsp:rsid wsp:val=&quot;00396F19&quot;/&gt;&lt;wsp:rsid wsp:val=&quot;003A10DD&quot;/&gt;&lt;wsp:rsid wsp:val=&quot;003A137A&quot;/&gt;&lt;wsp:rsid wsp:val=&quot;003A23BF&quot;/&gt;&lt;wsp:rsid wsp:val=&quot;003A2920&quot;/&gt;&lt;wsp:rsid wsp:val=&quot;003A33D5&quot;/&gt;&lt;wsp:rsid wsp:val=&quot;003A3A79&quot;/&gt;&lt;wsp:rsid wsp:val=&quot;003A4986&quot;/&gt;&lt;wsp:rsid wsp:val=&quot;003A4E7C&quot;/&gt;&lt;wsp:rsid wsp:val=&quot;003A5535&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054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0E0&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3235&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47318&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19A6&quot;/&gt;&lt;wsp:rsid wsp:val=&quot;00472E14&quot;/&gt;&lt;wsp:rsid wsp:val=&quot;00472E95&quot;/&gt;&lt;wsp:rsid wsp:val=&quot;0047477B&quot;/&gt;&lt;wsp:rsid wsp:val=&quot;0048261E&quot;/&gt;&lt;wsp:rsid wsp:val=&quot;0048363A&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4&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1808&quot;/&gt;&lt;wsp:rsid wsp:val=&quot;004B4891&quot;/&gt;&lt;wsp:rsid wsp:val=&quot;004B59D5&quot;/&gt;&lt;wsp:rsid wsp:val=&quot;004B59DF&quot;/&gt;&lt;wsp:rsid wsp:val=&quot;004B638B&quot;/&gt;&lt;wsp:rsid wsp:val=&quot;004B72C5&quot;/&gt;&lt;wsp:rsid wsp:val=&quot;004B7903&quot;/&gt;&lt;wsp:rsid wsp:val=&quot;004C1A8D&quot;/&gt;&lt;wsp:rsid wsp:val=&quot;004C1CC7&quot;/&gt;&lt;wsp:rsid wsp:val=&quot;004C336A&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CD3&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3130&quot;/&gt;&lt;wsp:rsid wsp:val=&quot;00504DB1&quot;/&gt;&lt;wsp:rsid wsp:val=&quot;00505EEA&quot;/&gt;&lt;wsp:rsid wsp:val=&quot;00506927&quot;/&gt;&lt;wsp:rsid wsp:val=&quot;00511459&quot;/&gt;&lt;wsp:rsid wsp:val=&quot;00511522&quot;/&gt;&lt;wsp:rsid wsp:val=&quot;00512042&quot;/&gt;&lt;wsp:rsid wsp:val=&quot;005123E0&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26668&quot;/&gt;&lt;wsp:rsid wsp:val=&quot;00531796&quot;/&gt;&lt;wsp:rsid wsp:val=&quot;0053230B&quot;/&gt;&lt;wsp:rsid wsp:val=&quot;00533060&quot;/&gt;&lt;wsp:rsid wsp:val=&quot;0053401D&quot;/&gt;&lt;wsp:rsid wsp:val=&quot;0053413E&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0B9E&quot;/&gt;&lt;wsp:rsid wsp:val=&quot;005643A7&quot;/&gt;&lt;wsp:rsid wsp:val=&quot;00564C00&quot;/&gt;&lt;wsp:rsid wsp:val=&quot;00564CF2&quot;/&gt;&lt;wsp:rsid wsp:val=&quot;00564D0A&quot;/&gt;&lt;wsp:rsid wsp:val=&quot;0056531F&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92A&quot;/&gt;&lt;wsp:rsid wsp:val=&quot;00593F1C&quot;/&gt;&lt;wsp:rsid wsp:val=&quot;005964CD&quot;/&gt;&lt;wsp:rsid wsp:val=&quot;00596B6F&quot;/&gt;&lt;wsp:rsid wsp:val=&quot;00596CA4&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65B&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D6C77&quot;/&gt;&lt;wsp:rsid wsp:val=&quot;005D781F&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2E35&quot;/&gt;&lt;wsp:rsid wsp:val=&quot;005F5669&quot;/&gt;&lt;wsp:rsid wsp:val=&quot;005F66B8&quot;/&gt;&lt;wsp:rsid wsp:val=&quot;005F71F9&quot;/&gt;&lt;wsp:rsid wsp:val=&quot;005F7382&quot;/&gt;&lt;wsp:rsid wsp:val=&quot;00600723&quot;/&gt;&lt;wsp:rsid wsp:val=&quot;0060085F&quot;/&gt;&lt;wsp:rsid wsp:val=&quot;00600B20&quot;/&gt;&lt;wsp:rsid wsp:val=&quot;00600C09&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985&quot;/&gt;&lt;wsp:rsid wsp:val=&quot;00623112&quot;/&gt;&lt;wsp:rsid wsp:val=&quot;006242CC&quot;/&gt;&lt;wsp:rsid wsp:val=&quot;00625906&quot;/&gt;&lt;wsp:rsid wsp:val=&quot;006267CF&quot;/&gt;&lt;wsp:rsid wsp:val=&quot;006273B2&quot;/&gt;&lt;wsp:rsid wsp:val=&quot;0063151D&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E50&quot;/&gt;&lt;wsp:rsid wsp:val=&quot;00660F83&quot;/&gt;&lt;wsp:rsid wsp:val=&quot;006625AD&quot;/&gt;&lt;wsp:rsid wsp:val=&quot;00663DFA&quot;/&gt;&lt;wsp:rsid wsp:val=&quot;006640A5&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5CC9&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233&quot;/&gt;&lt;wsp:rsid wsp:val=&quot;006B2BE5&quot;/&gt;&lt;wsp:rsid wsp:val=&quot;006B3B1B&quot;/&gt;&lt;wsp:rsid wsp:val=&quot;006B3B82&quot;/&gt;&lt;wsp:rsid wsp:val=&quot;006B3C13&quot;/&gt;&lt;wsp:rsid wsp:val=&quot;006B4BE0&quot;/&gt;&lt;wsp:rsid wsp:val=&quot;006B567E&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56&quot;/&gt;&lt;wsp:rsid wsp:val=&quot;006E03DD&quot;/&gt;&lt;wsp:rsid wsp:val=&quot;006E0DF8&quot;/&gt;&lt;wsp:rsid wsp:val=&quot;006E1164&quot;/&gt;&lt;wsp:rsid wsp:val=&quot;006E12E9&quot;/&gt;&lt;wsp:rsid wsp:val=&quot;006E2041&quot;/&gt;&lt;wsp:rsid wsp:val=&quot;006E29C5&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2F20&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3A4E&quot;/&gt;&lt;wsp:rsid wsp:val=&quot;0073423E&quot;/&gt;&lt;wsp:rsid wsp:val=&quot;007363DC&quot;/&gt;&lt;wsp:rsid wsp:val=&quot;007372FA&quot;/&gt;&lt;wsp:rsid wsp:val=&quot;00740294&quot;/&gt;&lt;wsp:rsid wsp:val=&quot;00741334&quot;/&gt;&lt;wsp:rsid wsp:val=&quot;007416BA&quot;/&gt;&lt;wsp:rsid wsp:val=&quot;00741A3B&quot;/&gt;&lt;wsp:rsid wsp:val=&quot;007420C8&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567B&quot;/&gt;&lt;wsp:rsid wsp:val=&quot;00766267&quot;/&gt;&lt;wsp:rsid wsp:val=&quot;00767D6D&quot;/&gt;&lt;wsp:rsid wsp:val=&quot;0077127E&quot;/&gt;&lt;wsp:rsid wsp:val=&quot;007714F1&quot;/&gt;&lt;wsp:rsid wsp:val=&quot;00771C60&quot;/&gt;&lt;wsp:rsid wsp:val=&quot;00771F25&quot;/&gt;&lt;wsp:rsid wsp:val=&quot;00772595&quot;/&gt;&lt;wsp:rsid wsp:val=&quot;0077609B&quot;/&gt;&lt;wsp:rsid wsp:val=&quot;0077628A&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541&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7CD&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809&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0D81&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05EF7&quot;/&gt;&lt;wsp:rsid wsp:val=&quot;00807585&quot;/&gt;&lt;wsp:rsid wsp:val=&quot;00810C0C&quot;/&gt;&lt;wsp:rsid wsp:val=&quot;008110A0&quot;/&gt;&lt;wsp:rsid wsp:val=&quot;00811528&quot;/&gt;&lt;wsp:rsid wsp:val=&quot;008117D4&quot;/&gt;&lt;wsp:rsid wsp:val=&quot;00811843&quot;/&gt;&lt;wsp:rsid wsp:val=&quot;00812233&quot;/&gt;&lt;wsp:rsid wsp:val=&quot;008129DB&quot;/&gt;&lt;wsp:rsid wsp:val=&quot;0081379D&quot;/&gt;&lt;wsp:rsid wsp:val=&quot;0081488C&quot;/&gt;&lt;wsp:rsid wsp:val=&quot;0081611E&quot;/&gt;&lt;wsp:rsid wsp:val=&quot;00817DD3&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7D0&quot;/&gt;&lt;wsp:rsid wsp:val=&quot;008309FA&quot;/&gt;&lt;wsp:rsid wsp:val=&quot;00832A46&quot;/&gt;&lt;wsp:rsid wsp:val=&quot;00834B2E&quot;/&gt;&lt;wsp:rsid wsp:val=&quot;00835292&quot;/&gt;&lt;wsp:rsid wsp:val=&quot;00835591&quot;/&gt;&lt;wsp:rsid wsp:val=&quot;0083656B&quot;/&gt;&lt;wsp:rsid wsp:val=&quot;00836C2A&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0748&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3CD&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1B4&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256E&quot;/&gt;&lt;wsp:rsid wsp:val=&quot;008F3DC9&quot;/&gt;&lt;wsp:rsid wsp:val=&quot;008F61F8&quot;/&gt;&lt;wsp:rsid wsp:val=&quot;008F72F5&quot;/&gt;&lt;wsp:rsid wsp:val=&quot;008F7635&quot;/&gt;&lt;wsp:rsid wsp:val=&quot;00900C02&quot;/&gt;&lt;wsp:rsid wsp:val=&quot;00900C9B&quot;/&gt;&lt;wsp:rsid wsp:val=&quot;0090380D&quot;/&gt;&lt;wsp:rsid wsp:val=&quot;00903C25&quot;/&gt;&lt;wsp:rsid wsp:val=&quot;00905DA8&quot;/&gt;&lt;wsp:rsid wsp:val=&quot;009112B2&quot;/&gt;&lt;wsp:rsid wsp:val=&quot;009139B3&quot;/&gt;&lt;wsp:rsid wsp:val=&quot;00914BA1&quot;/&gt;&lt;wsp:rsid wsp:val=&quot;00914F3D&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541C&quot;/&gt;&lt;wsp:rsid wsp:val=&quot;00927EFD&quot;/&gt;&lt;wsp:rsid wsp:val=&quot;009324E7&quot;/&gt;&lt;wsp:rsid wsp:val=&quot;0093582B&quot;/&gt;&lt;wsp:rsid wsp:val=&quot;009360A4&quot;/&gt;&lt;wsp:rsid wsp:val=&quot;00937C76&quot;/&gt;&lt;wsp:rsid wsp:val=&quot;009402A0&quot;/&gt;&lt;wsp:rsid wsp:val=&quot;009408C9&quot;/&gt;&lt;wsp:rsid wsp:val=&quot;00940AFA&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5E03&quot;/&gt;&lt;wsp:rsid wsp:val=&quot;00956B54&quot;/&gt;&lt;wsp:rsid wsp:val=&quot;00956CED&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49E8&quot;/&gt;&lt;wsp:rsid wsp:val=&quot;009970C0&quot;/&gt;&lt;wsp:rsid wsp:val=&quot;00997166&quot;/&gt;&lt;wsp:rsid wsp:val=&quot;009A04C0&quot;/&gt;&lt;wsp:rsid wsp:val=&quot;009A0F97&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2092&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018D&quot;/&gt;&lt;wsp:rsid wsp:val=&quot;009F1378&quot;/&gt;&lt;wsp:rsid wsp:val=&quot;009F25DD&quot;/&gt;&lt;wsp:rsid wsp:val=&quot;009F2D9A&quot;/&gt;&lt;wsp:rsid wsp:val=&quot;009F3DA0&quot;/&gt;&lt;wsp:rsid wsp:val=&quot;009F3F65&quot;/&gt;&lt;wsp:rsid wsp:val=&quot;009F44E4&quot;/&gt;&lt;wsp:rsid wsp:val=&quot;009F5B56&quot;/&gt;&lt;wsp:rsid wsp:val=&quot;009F5E36&quot;/&gt;&lt;wsp:rsid wsp:val=&quot;009F7582&quot;/&gt;&lt;wsp:rsid wsp:val=&quot;00A03192&quot;/&gt;&lt;wsp:rsid wsp:val=&quot;00A033C4&quot;/&gt;&lt;wsp:rsid wsp:val=&quot;00A03E10&quot;/&gt;&lt;wsp:rsid wsp:val=&quot;00A046A3&quot;/&gt;&lt;wsp:rsid wsp:val=&quot;00A078FE&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4A67&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37C61&quot;/&gt;&lt;wsp:rsid wsp:val=&quot;00A404CE&quot;/&gt;&lt;wsp:rsid wsp:val=&quot;00A409E2&quot;/&gt;&lt;wsp:rsid wsp:val=&quot;00A412C2&quot;/&gt;&lt;wsp:rsid wsp:val=&quot;00A437B4&quot;/&gt;&lt;wsp:rsid wsp:val=&quot;00A4646C&quot;/&gt;&lt;wsp:rsid wsp:val=&quot;00A5158B&quot;/&gt;&lt;wsp:rsid wsp:val=&quot;00A53931&quot;/&gt;&lt;wsp:rsid wsp:val=&quot;00A54E15&quot;/&gt;&lt;wsp:rsid wsp:val=&quot;00A566F7&quot;/&gt;&lt;wsp:rsid wsp:val=&quot;00A57B0F&quot;/&gt;&lt;wsp:rsid wsp:val=&quot;00A57C6F&quot;/&gt;&lt;wsp:rsid wsp:val=&quot;00A57CC1&quot;/&gt;&lt;wsp:rsid wsp:val=&quot;00A61CE9&quot;/&gt;&lt;wsp:rsid wsp:val=&quot;00A627C6&quot;/&gt;&lt;wsp:rsid wsp:val=&quot;00A63ECF&quot;/&gt;&lt;wsp:rsid wsp:val=&quot;00A64E50&quot;/&gt;&lt;wsp:rsid wsp:val=&quot;00A65576&quot;/&gt;&lt;wsp:rsid wsp:val=&quot;00A65DF6&quot;/&gt;&lt;wsp:rsid wsp:val=&quot;00A6653F&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38EA&quot;/&gt;&lt;wsp:rsid wsp:val=&quot;00A85469&quot;/&gt;&lt;wsp:rsid wsp:val=&quot;00A86655&quot;/&gt;&lt;wsp:rsid wsp:val=&quot;00A866E4&quot;/&gt;&lt;wsp:rsid wsp:val=&quot;00A868BF&quot;/&gt;&lt;wsp:rsid wsp:val=&quot;00A9089D&quot;/&gt;&lt;wsp:rsid wsp:val=&quot;00A90920&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B75&quot;/&gt;&lt;wsp:rsid wsp:val=&quot;00AA6E5F&quot;/&gt;&lt;wsp:rsid wsp:val=&quot;00AA6F03&quot;/&gt;&lt;wsp:rsid wsp:val=&quot;00AA77A6&quot;/&gt;&lt;wsp:rsid wsp:val=&quot;00AB123E&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4F3D&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5CCB&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099&quot;/&gt;&lt;wsp:rsid wsp:val=&quot;00B71CA8&quot;/&gt;&lt;wsp:rsid wsp:val=&quot;00B73DE2&quot;/&gt;&lt;wsp:rsid wsp:val=&quot;00B744FB&quot;/&gt;&lt;wsp:rsid wsp:val=&quot;00B7484E&quot;/&gt;&lt;wsp:rsid wsp:val=&quot;00B75826&quot;/&gt;&lt;wsp:rsid wsp:val=&quot;00B7656D&quot;/&gt;&lt;wsp:rsid wsp:val=&quot;00B80223&quot;/&gt;&lt;wsp:rsid wsp:val=&quot;00B808B0&quot;/&gt;&lt;wsp:rsid wsp:val=&quot;00B8511B&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A9B&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3B16&quot;/&gt;&lt;wsp:rsid wsp:val=&quot;00BE43E9&quot;/&gt;&lt;wsp:rsid wsp:val=&quot;00BE4EB9&quot;/&gt;&lt;wsp:rsid wsp:val=&quot;00BE50C3&quot;/&gt;&lt;wsp:rsid wsp:val=&quot;00BE68E3&quot;/&gt;&lt;wsp:rsid wsp:val=&quot;00BE7593&quot;/&gt;&lt;wsp:rsid wsp:val=&quot;00BF1649&quot;/&gt;&lt;wsp:rsid wsp:val=&quot;00BF1BBC&quot;/&gt;&lt;wsp:rsid wsp:val=&quot;00BF255F&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1438&quot;/&gt;&lt;wsp:rsid wsp:val=&quot;00C125E5&quot;/&gt;&lt;wsp:rsid wsp:val=&quot;00C12C52&quot;/&gt;&lt;wsp:rsid wsp:val=&quot;00C14A70&quot;/&gt;&lt;wsp:rsid wsp:val=&quot;00C14F1F&quot;/&gt;&lt;wsp:rsid wsp:val=&quot;00C15BF5&quot;/&gt;&lt;wsp:rsid wsp:val=&quot;00C15D85&quot;/&gt;&lt;wsp:rsid wsp:val=&quot;00C16CCD&quot;/&gt;&lt;wsp:rsid wsp:val=&quot;00C16E1B&quot;/&gt;&lt;wsp:rsid wsp:val=&quot;00C170E7&quot;/&gt;&lt;wsp:rsid wsp:val=&quot;00C175A2&quot;/&gt;&lt;wsp:rsid wsp:val=&quot;00C2078A&quot;/&gt;&lt;wsp:rsid wsp:val=&quot;00C210AB&quot;/&gt;&lt;wsp:rsid wsp:val=&quot;00C24C94&quot;/&gt;&lt;wsp:rsid wsp:val=&quot;00C272F9&quot;/&gt;&lt;wsp:rsid wsp:val=&quot;00C31F45&quot;/&gt;&lt;wsp:rsid wsp:val=&quot;00C3606C&quot;/&gt;&lt;wsp:rsid wsp:val=&quot;00C37C96&quot;/&gt;&lt;wsp:rsid wsp:val=&quot;00C37EE3&quot;/&gt;&lt;wsp:rsid wsp:val=&quot;00C41EE5&quot;/&gt;&lt;wsp:rsid wsp:val=&quot;00C4261E&quot;/&gt;&lt;wsp:rsid wsp:val=&quot;00C434E3&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46A9&quot;/&gt;&lt;wsp:rsid wsp:val=&quot;00C55342&quot;/&gt;&lt;wsp:rsid wsp:val=&quot;00C566E0&quot;/&gt;&lt;wsp:rsid wsp:val=&quot;00C577C0&quot;/&gt;&lt;wsp:rsid wsp:val=&quot;00C60030&quot;/&gt;&lt;wsp:rsid wsp:val=&quot;00C60C56&quot;/&gt;&lt;wsp:rsid wsp:val=&quot;00C60E2C&quot;/&gt;&lt;wsp:rsid wsp:val=&quot;00C63895&quot;/&gt;&lt;wsp:rsid wsp:val=&quot;00C63CB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4E74&quot;/&gt;&lt;wsp:rsid wsp:val=&quot;00C75497&quot;/&gt;&lt;wsp:rsid wsp:val=&quot;00C76253&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0B6&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0D93&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4A9&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166DA&quot;/&gt;&lt;wsp:rsid wsp:val=&quot;00D21323&quot;/&gt;&lt;wsp:rsid wsp:val=&quot;00D21546&quot;/&gt;&lt;wsp:rsid wsp:val=&quot;00D22997&quot;/&gt;&lt;wsp:rsid wsp:val=&quot;00D24360&quot;/&gt;&lt;wsp:rsid wsp:val=&quot;00D246A8&quot;/&gt;&lt;wsp:rsid wsp:val=&quot;00D27491&quot;/&gt;&lt;wsp:rsid wsp:val=&quot;00D330BB&quot;/&gt;&lt;wsp:rsid wsp:val=&quot;00D3408C&quot;/&gt;&lt;wsp:rsid wsp:val=&quot;00D3590B&quot;/&gt;&lt;wsp:rsid wsp:val=&quot;00D36438&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2894&quot;/&gt;&lt;wsp:rsid wsp:val=&quot;00DA45E0&quot;/&gt;&lt;wsp:rsid wsp:val=&quot;00DA53F8&quot;/&gt;&lt;wsp:rsid wsp:val=&quot;00DA62B4&quot;/&gt;&lt;wsp:rsid wsp:val=&quot;00DA733A&quot;/&gt;&lt;wsp:rsid wsp:val=&quot;00DB3696&quot;/&gt;&lt;wsp:rsid wsp:val=&quot;00DB371B&quot;/&gt;&lt;wsp:rsid wsp:val=&quot;00DB3B15&quot;/&gt;&lt;wsp:rsid wsp:val=&quot;00DC07E9&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13FF&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0530A&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17F8&quot;/&gt;&lt;wsp:rsid wsp:val=&quot;00E62B2C&quot;/&gt;&lt;wsp:rsid wsp:val=&quot;00E62B47&quot;/&gt;&lt;wsp:rsid wsp:val=&quot;00E63AE8&quot;/&gt;&lt;wsp:rsid wsp:val=&quot;00E64E43&quot;/&gt;&lt;wsp:rsid wsp:val=&quot;00E66061&quot;/&gt;&lt;wsp:rsid wsp:val=&quot;00E665DE&quot;/&gt;&lt;wsp:rsid wsp:val=&quot;00E67F2F&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1DE&quot;/&gt;&lt;wsp:rsid wsp:val=&quot;00E7728B&quot;/&gt;&lt;wsp:rsid wsp:val=&quot;00E777CC&quot;/&gt;&lt;wsp:rsid wsp:val=&quot;00E77D2B&quot;/&gt;&lt;wsp:rsid wsp:val=&quot;00E8054B&quot;/&gt;&lt;wsp:rsid wsp:val=&quot;00E8123D&quot;/&gt;&lt;wsp:rsid wsp:val=&quot;00E8126E&quot;/&gt;&lt;wsp:rsid wsp:val=&quot;00E81BA8&quot;/&gt;&lt;wsp:rsid wsp:val=&quot;00E82244&quot;/&gt;&lt;wsp:rsid wsp:val=&quot;00E838DB&quot;/&gt;&lt;wsp:rsid wsp:val=&quot;00E91560&quot;/&gt;&lt;wsp:rsid wsp:val=&quot;00E91599&quot;/&gt;&lt;wsp:rsid wsp:val=&quot;00E9284F&quot;/&gt;&lt;wsp:rsid wsp:val=&quot;00E929C0&quot;/&gt;&lt;wsp:rsid wsp:val=&quot;00E93B13&quot;/&gt;&lt;wsp:rsid wsp:val=&quot;00E93DAB&quot;/&gt;&lt;wsp:rsid wsp:val=&quot;00E94C48&quot;/&gt;&lt;wsp:rsid wsp:val=&quot;00E953E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A7905&quot;/&gt;&lt;wsp:rsid wsp:val=&quot;00EB1BD3&quot;/&gt;&lt;wsp:rsid wsp:val=&quot;00EB2CD6&quot;/&gt;&lt;wsp:rsid wsp:val=&quot;00EB2DBB&quot;/&gt;&lt;wsp:rsid wsp:val=&quot;00EB3C6E&quot;/&gt;&lt;wsp:rsid wsp:val=&quot;00EB4BC3&quot;/&gt;&lt;wsp:rsid wsp:val=&quot;00EB4C68&quot;/&gt;&lt;wsp:rsid wsp:val=&quot;00EB5B1E&quot;/&gt;&lt;wsp:rsid wsp:val=&quot;00EB6D71&quot;/&gt;&lt;wsp:rsid wsp:val=&quot;00EB715F&quot;/&gt;&lt;wsp:rsid wsp:val=&quot;00EC3472&quot;/&gt;&lt;wsp:rsid wsp:val=&quot;00EC42B0&quot;/&gt;&lt;wsp:rsid wsp:val=&quot;00EC43B1&quot;/&gt;&lt;wsp:rsid wsp:val=&quot;00EC4D63&quot;/&gt;&lt;wsp:rsid wsp:val=&quot;00EC4E06&quot;/&gt;&lt;wsp:rsid wsp:val=&quot;00EC6966&quot;/&gt;&lt;wsp:rsid wsp:val=&quot;00EC6D90&quot;/&gt;&lt;wsp:rsid wsp:val=&quot;00EC7761&quot;/&gt;&lt;wsp:rsid wsp:val=&quot;00ED0E21&quot;/&gt;&lt;wsp:rsid wsp:val=&quot;00ED10C1&quot;/&gt;&lt;wsp:rsid wsp:val=&quot;00ED23AD&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17F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B5C&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08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71D&quot;/&gt;&lt;wsp:rsid wsp:val=&quot;00F37688&quot;/&gt;&lt;wsp:rsid wsp:val=&quot;00F4074D&quot;/&gt;&lt;wsp:rsid wsp:val=&quot;00F40A4B&quot;/&gt;&lt;wsp:rsid wsp:val=&quot;00F41800&quot;/&gt;&lt;wsp:rsid wsp:val=&quot;00F4342E&quot;/&gt;&lt;wsp:rsid wsp:val=&quot;00F439C3&quot;/&gt;&lt;wsp:rsid wsp:val=&quot;00F43CA7&quot;/&gt;&lt;wsp:rsid wsp:val=&quot;00F45B2A&quot;/&gt;&lt;wsp:rsid wsp:val=&quot;00F45B72&quot;/&gt;&lt;wsp:rsid wsp:val=&quot;00F463CC&quot;/&gt;&lt;wsp:rsid wsp:val=&quot;00F465EF&quot;/&gt;&lt;wsp:rsid wsp:val=&quot;00F47899&quot;/&gt;&lt;wsp:rsid wsp:val=&quot;00F479E4&quot;/&gt;&lt;wsp:rsid wsp:val=&quot;00F50ED9&quot;/&gt;&lt;wsp:rsid wsp:val=&quot;00F51888&quot;/&gt;&lt;wsp:rsid wsp:val=&quot;00F53ACA&quot;/&gt;&lt;wsp:rsid wsp:val=&quot;00F544C6&quot;/&gt;&lt;wsp:rsid wsp:val=&quot;00F545B0&quot;/&gt;&lt;wsp:rsid wsp:val=&quot;00F54BCB&quot;/&gt;&lt;wsp:rsid wsp:val=&quot;00F55B37&quot;/&gt;&lt;wsp:rsid wsp:val=&quot;00F564E1&quot;/&gt;&lt;wsp:rsid wsp:val=&quot;00F56A5A&quot;/&gt;&lt;wsp:rsid wsp:val=&quot;00F602A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061&quot;/&gt;&lt;wsp:rsid wsp:val=&quot;00F821FA&quot;/&gt;&lt;wsp:rsid wsp:val=&quot;00F8325C&quot;/&gt;&lt;wsp:rsid wsp:val=&quot;00F83884&quot;/&gt;&lt;wsp:rsid wsp:val=&quot;00F85F13&quot;/&gt;&lt;wsp:rsid wsp:val=&quot;00F86053&quot;/&gt;&lt;wsp:rsid wsp:val=&quot;00F86EB9&quot;/&gt;&lt;wsp:rsid wsp:val=&quot;00F87820&quot;/&gt;&lt;wsp:rsid wsp:val=&quot;00F901A3&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1CCC&quot;/&gt;&lt;wsp:rsid wsp:val=&quot;00FA21E1&quot;/&gt;&lt;wsp:rsid wsp:val=&quot;00FA4ACE&quot;/&gt;&lt;wsp:rsid wsp:val=&quot;00FA4C48&quot;/&gt;&lt;wsp:rsid wsp:val=&quot;00FA6DE3&quot;/&gt;&lt;wsp:rsid wsp:val=&quot;00FA7CD3&quot;/&gt;&lt;wsp:rsid wsp:val=&quot;00FB0474&quot;/&gt;&lt;wsp:rsid wsp:val=&quot;00FB0A86&quot;/&gt;&lt;wsp:rsid wsp:val=&quot;00FB2E56&quot;/&gt;&lt;wsp:rsid wsp:val=&quot;00FB3ED5&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266B&quot;/&gt;&lt;wsp:rsid wsp:val=&quot;00FE4D3E&quot;/&gt;&lt;wsp:rsid wsp:val=&quot;00FE5359&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x:sect&gt;&lt;w:p wsp:rsidR=&quot;00000000&quot; wsp:rsidRPr=&quot;006E12E9&quot; wsp:rsidRDefault=&quot;006E12E9&quot; wsp:rsidP=&quot;006E12E9&quot;&gt;&lt;m:oMathPara&gt;&lt;m:oMath&gt;&lt;m:sSub&gt;&lt;m:sSubPr&gt;&lt;m:ctrlPr&gt;&lt;w:rPr&gt;&lt;w:rFonts w:ascii=&quot;Cambria Math&quot; w:h-ansi=&quot;Cambria Math&quot; w:cs=&quot;Cambria&quot;/&gt;&lt;wx:font wx:val=&quot;Cambria Math&quot;/&gt;&lt;w:i/&gt;&lt;/w:rPr&gt;&lt;/m:ctrlPr&gt;&lt;/m:sSubPr&gt;&lt;m:e&gt;&lt;m:r&gt;&lt;w:rPr&gt;&lt;w:rFonts w:ascii=&quot;Cambria Math&quot; w:h-ansi=&quot;Cambria Math&quot; w:cs=&quot;Cambria&quot;/&gt;&lt;wx:font wx:val=&quot;Cambria Math&quot;/&gt;&lt;w:i/&gt;&lt;/w:rPr&gt;&lt;m:t&gt;pr&lt;/m:t&gt;&lt;/m:r&gt;&lt;/m:e&gt;&lt;m:sub&gt;&lt;m:r&gt;&lt;w:rPr&gt;&lt;w:rFonts w:ascii=&quot;Cambria Math&quot; w:h-ansi=&quot;Cambria Math&quot; w:cs=&quot;Cambria&quot;/&gt;&lt;wx:font wx:val=&quot;Cambria Math&quot;/&gt;&lt;w:i/&gt;&lt;/w:rPr&gt;&lt;m:t&gt;t&lt;/m:t&gt;&lt;/m:r&gt;&lt;/m:sub&gt;&lt;/m:sSub&gt;&lt;/m:oMath&gt;&lt;/m:oMathPara&gt;&lt;/w:p&gt;&lt;w:sectPr wsp:rsidR=&quot;00000000&quot; wsp:rsidRPr=&quot;006E12E9&quot;&gt;&lt;w:pgSz w:w=&quot;12240&quot; w:h=&quot;15840&quot;/&gt;&lt;w:pgMar w:top=&quot;1417&quot; w:right=&quot;1701&quot; w:bottom=&quot;1417&quot; w:left=&quot;1701&quot; w:header=&quot;720&quot; w:footer=&quot;720&quot; w:gutter=&quot;0&quot;/&gt;&lt;w:cols w:space=&quot;720&quot;/&gt;&lt;/w:sectPr&gt;&lt;/wx:sect&gt;&lt;/w:body&gt;&lt;/w:wordDocument&gt;">
                  <v:imagedata r:id="rId45" o:title="" chromakey="white"/>
                </v:shape>
              </w:pict>
            </w:r>
          </w:p>
        </w:tc>
        <w:tc>
          <w:tcPr>
            <w:tcW w:w="2716" w:type="dxa"/>
            <w:vAlign w:val="center"/>
          </w:tcPr>
          <w:p w14:paraId="0D34D5EA" w14:textId="77777777" w:rsidR="00A85F2B" w:rsidRPr="00A85F2B" w:rsidRDefault="00A85F2B" w:rsidP="00E37438">
            <w:pPr>
              <w:autoSpaceDE w:val="0"/>
              <w:autoSpaceDN w:val="0"/>
              <w:adjustRightInd w:val="0"/>
              <w:rPr>
                <w:rFonts w:ascii="Calibri" w:hAnsi="Calibri" w:cs="Calibri"/>
                <w:sz w:val="22"/>
              </w:rPr>
            </w:pPr>
            <w:r w:rsidRPr="00A85F2B">
              <w:rPr>
                <w:rFonts w:ascii="Calibri" w:hAnsi="Calibri" w:cs="Calibri"/>
                <w:sz w:val="22"/>
              </w:rPr>
              <w:t>No es exógena</w:t>
            </w:r>
          </w:p>
        </w:tc>
      </w:tr>
    </w:tbl>
    <w:p w14:paraId="5F9B1D35" w14:textId="77777777" w:rsidR="00A85F2B" w:rsidRPr="00A85F2B" w:rsidRDefault="00A85F2B" w:rsidP="00A85F2B">
      <w:pPr>
        <w:ind w:left="2716"/>
        <w:rPr>
          <w:rFonts w:ascii="Calibri" w:hAnsi="Calibri" w:cs="Calibri"/>
          <w:sz w:val="22"/>
          <w:lang w:val="es-ES_tradnl"/>
        </w:rPr>
      </w:pPr>
      <w:r w:rsidRPr="00A85F2B">
        <w:rPr>
          <w:rFonts w:ascii="Calibri" w:hAnsi="Calibri" w:cs="Calibri"/>
          <w:sz w:val="22"/>
          <w:lang w:val="es-ES_tradnl"/>
        </w:rPr>
        <w:t>Fuente: Elaboración propia.</w:t>
      </w:r>
    </w:p>
    <w:p w14:paraId="73C918A6" w14:textId="77777777" w:rsidR="00587FDF" w:rsidRPr="00A85F2B" w:rsidRDefault="00587FDF" w:rsidP="00E548C6">
      <w:pPr>
        <w:pStyle w:val="Resumen"/>
        <w:rPr>
          <w:rFonts w:ascii="Calibri" w:hAnsi="Calibri" w:cs="Calibri"/>
          <w:b w:val="0"/>
          <w:i w:val="0"/>
          <w:sz w:val="22"/>
          <w:szCs w:val="22"/>
          <w:lang w:val="es-ES_tradnl"/>
        </w:rPr>
      </w:pPr>
    </w:p>
    <w:p w14:paraId="5E262BE7" w14:textId="7E590EB1" w:rsidR="00587FDF" w:rsidRPr="00A85F2B" w:rsidRDefault="00A85F2B" w:rsidP="005A0F96">
      <w:pPr>
        <w:autoSpaceDE w:val="0"/>
        <w:autoSpaceDN w:val="0"/>
        <w:adjustRightInd w:val="0"/>
        <w:jc w:val="both"/>
        <w:rPr>
          <w:rFonts w:ascii="Calibri" w:hAnsi="Calibri" w:cs="Calibri"/>
          <w:sz w:val="22"/>
          <w:lang w:val="es-ES_tradnl"/>
        </w:rPr>
      </w:pPr>
      <w:r w:rsidRPr="00A85F2B">
        <w:rPr>
          <w:rFonts w:ascii="Calibri" w:hAnsi="Calibri" w:cs="Calibri"/>
          <w:sz w:val="22"/>
          <w:lang w:val="es-ES_tradnl"/>
        </w:rPr>
        <w:t>La estimación de los parámetros del modelo se realiza de la siguiente manera: a partir de las funciones lineales (tabla 1) que definen la estructura del modelo, se utilizó el método de momentos generalizados (GMM), dentro de la estructura de regresión lineal que representan la dinámica planteada de cada agente dentro del modelo.</w:t>
      </w:r>
    </w:p>
    <w:p w14:paraId="76110F33" w14:textId="3FEE4ECD" w:rsidR="00B86D9E" w:rsidRPr="00554A60" w:rsidRDefault="00B86D9E" w:rsidP="00E548C6">
      <w:pPr>
        <w:pStyle w:val="Resumen"/>
        <w:rPr>
          <w:rFonts w:asciiTheme="minorHAnsi" w:hAnsiTheme="minorHAnsi" w:cstheme="minorHAnsi"/>
          <w:smallCaps/>
          <w:sz w:val="24"/>
          <w:lang w:val="es-ES_tradnl"/>
        </w:rPr>
      </w:pPr>
      <w:proofErr w:type="spellStart"/>
      <w:r w:rsidRPr="00554A60">
        <w:rPr>
          <w:rFonts w:asciiTheme="minorHAnsi" w:hAnsiTheme="minorHAnsi" w:cstheme="minorHAnsi"/>
          <w:smallCaps/>
          <w:sz w:val="24"/>
          <w:lang w:val="es-ES_tradnl"/>
        </w:rPr>
        <w:t>Result</w:t>
      </w:r>
      <w:r w:rsidR="006B3519" w:rsidRPr="00554A60">
        <w:rPr>
          <w:rFonts w:asciiTheme="minorHAnsi" w:hAnsiTheme="minorHAnsi" w:cstheme="minorHAnsi"/>
          <w:smallCaps/>
          <w:sz w:val="24"/>
          <w:lang w:val="es-ES_tradnl"/>
        </w:rPr>
        <w:t>ado</w:t>
      </w:r>
      <w:proofErr w:type="spellEnd"/>
      <w:r w:rsidR="006B3519" w:rsidRPr="00554A60">
        <w:rPr>
          <w:rFonts w:asciiTheme="minorHAnsi" w:hAnsiTheme="minorHAnsi" w:cstheme="minorHAnsi"/>
          <w:smallCaps/>
          <w:sz w:val="24"/>
          <w:lang w:val="es-ES_tradnl"/>
        </w:rPr>
        <w:t>s</w:t>
      </w:r>
    </w:p>
    <w:p w14:paraId="449B44AE" w14:textId="77777777" w:rsidR="00CA6B38" w:rsidRDefault="00CA6B38" w:rsidP="00CA6B38">
      <w:pPr>
        <w:rPr>
          <w:i/>
          <w:iCs/>
          <w:sz w:val="22"/>
          <w:lang w:val="es-ES_tradnl"/>
        </w:rPr>
      </w:pPr>
    </w:p>
    <w:p w14:paraId="7DD17ED9" w14:textId="7FBCA7DD" w:rsidR="00CA6B38" w:rsidRPr="00CA6B38" w:rsidRDefault="00CA6B38" w:rsidP="00CA6B38">
      <w:pPr>
        <w:jc w:val="both"/>
        <w:rPr>
          <w:rFonts w:ascii="Calibri" w:hAnsi="Calibri" w:cs="Calibri"/>
          <w:i/>
          <w:iCs/>
          <w:sz w:val="22"/>
          <w:lang w:val="es-ES_tradnl"/>
        </w:rPr>
      </w:pPr>
      <w:r w:rsidRPr="00CA6B38">
        <w:rPr>
          <w:rFonts w:ascii="Calibri" w:hAnsi="Calibri" w:cs="Calibri"/>
          <w:sz w:val="22"/>
          <w:lang w:val="es-ES_tradnl"/>
        </w:rPr>
        <w:t xml:space="preserve">Los parámetros de las ecuaciones que fueron estimados mediante regresiones estándar a partir (GMM), son los correspondientes a Déficit fiscal, Regla de Taylor, Curva IS, Curva de Phillips </w:t>
      </w:r>
      <w:proofErr w:type="spellStart"/>
      <w:r w:rsidRPr="00CA6B38">
        <w:rPr>
          <w:rFonts w:ascii="Calibri" w:hAnsi="Calibri" w:cs="Calibri"/>
          <w:sz w:val="22"/>
          <w:lang w:val="es-ES_tradnl"/>
        </w:rPr>
        <w:t>neokeynesiana</w:t>
      </w:r>
      <w:proofErr w:type="spellEnd"/>
      <w:r w:rsidRPr="00CA6B38">
        <w:rPr>
          <w:rFonts w:ascii="Calibri" w:hAnsi="Calibri" w:cs="Calibri"/>
          <w:sz w:val="22"/>
          <w:lang w:val="es-ES_tradnl"/>
        </w:rPr>
        <w:t xml:space="preserve"> y Paridad de tasas de interés; se realizó utilizando el conjunto de datos determinado por la matriz de variables de control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29431AAF">
          <v:shape id="_x0000_i1141" type="#_x0000_t75" alt="" style="width:13.2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8B3&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D18B3&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1910BB8E">
          <v:shape id="_x0000_i1140" type="#_x0000_t75" alt="" style="width:13.2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8B3&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D18B3&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 el cual contiene las variables PIB real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12257398">
          <v:shape id="_x0000_i1139" type="#_x0000_t75" alt="" style="width:19.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DD9&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21DD9&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6"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70691952">
          <v:shape id="_x0000_i1138" type="#_x0000_t75" alt="" style="width:19.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1DD9&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21DD9&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6"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en millones de pesos colombianos, la tasa de interés nominal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33ADF968">
          <v:shape id="_x0000_i1137" type="#_x0000_t75" alt="" style="width:18.3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16D1&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E916D1&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75723B2F">
          <v:shape id="_x0000_i1136" type="#_x0000_t75" alt="" style="width:18.3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16D1&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E916D1&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tasa de interés real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7C6625C8">
          <v:shape id="_x0000_i1135" type="#_x0000_t75" alt="" style="width:16.9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384&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72384&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r&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08C529C7">
          <v:shape id="_x0000_i1134" type="#_x0000_t75" alt="" style="width:16.9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384&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72384&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r&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8"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la tasa de inflación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514D662C">
          <v:shape id="_x0000_i1133" type="#_x0000_t75" alt="" style="width:20.5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6264&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46264&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9"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6688E52B">
          <v:shape id="_x0000_i1132" type="#_x0000_t75" alt="" style="width:20.5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6264&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46264&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9"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determinada por el IPC, la depreciación real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407B56BD">
          <v:shape id="_x0000_i1131" type="#_x0000_t75" alt="" style="width:19.8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3CE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E3CE6&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0"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70AC2E41">
          <v:shape id="_x0000_i1130" type="#_x0000_t75" alt="" style="width:19.8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3CE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E3CE6&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0"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la depreciación nominal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36728F67">
          <v:shape id="_x0000_i1129" type="#_x0000_t75" alt="" style="width: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17AB&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B17AB&quot;&gt;&lt;m:oMathPara&gt;&lt;m:oMath&gt;&lt;m:d&gt;&lt;m:dPr&gt;&lt;m:ctrlPr&gt;&lt;w:rPr&gt;&lt;w:rFonts w:ascii=&quot;Cambria Math&quot; w:h-ansi=&quot;Cambria Math&quot; w:cs=&quot;Calibri Light&quot;/&gt;&lt;wx:font wx:val=&quot;Cambria Math&quot;/&gt;&lt;w:i/&gt;&lt;w:lang w:val=&quot;ES-TRAD&quot;/&gt;&lt;/w:rPr&gt;&lt;/m:ctrlPr&gt;&lt;/m:dPr&gt;&lt;m:e&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1"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29DE36FD">
          <v:shape id="_x0000_i1128" type="#_x0000_t75" alt="" style="width: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17AB&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B17AB&quot;&gt;&lt;m:oMathPara&gt;&lt;m:oMath&gt;&lt;m:d&gt;&lt;m:dPr&gt;&lt;m:ctrlPr&gt;&lt;w:rPr&gt;&lt;w:rFonts w:ascii=&quot;Cambria Math&quot; w:h-ansi=&quot;Cambria Math&quot; w:cs=&quot;Calibri Light&quot;/&gt;&lt;wx:font wx:val=&quot;Cambria Math&quot;/&gt;&lt;w:i/&gt;&lt;w:lang w:val=&quot;ES-TRAD&quot;/&gt;&lt;/w:rPr&gt;&lt;/m:ctrlPr&gt;&lt;/m:dPr&gt;&lt;m:e&gt;&lt;m:r&gt;&lt;w:rPr&gt;&lt;w:rFonts w:ascii=&quot;Cambria Math&quot; w:h-ansi=&quot;Cambria Math&quot; w:cs=&quot;Calibri Light&quot;/&gt;&lt;wx:font wx:val=&quot;Cambria Math&quot;/&gt;&lt;w:i/&gt;&lt;w:lang w:val=&quot;ES-TRAD&quot;/&gt;&lt;/w:rPr&gt;&lt;m:t&gt; &lt;/m:t&gt;&lt;/m:r&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1"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en COP/USD, prima de riesgo país </w:t>
      </w:r>
      <w:r w:rsidRPr="00CA6B38">
        <w:rPr>
          <w:rFonts w:ascii="Calibri" w:hAnsi="Calibri" w:cs="Calibri"/>
          <w:sz w:val="22"/>
          <w:lang w:val="es-ES_tradnl"/>
        </w:rPr>
        <w:fldChar w:fldCharType="begin"/>
      </w:r>
      <w:r w:rsidRPr="00CA6B38">
        <w:rPr>
          <w:rFonts w:ascii="Calibri" w:hAnsi="Calibri" w:cs="Calibri"/>
          <w:sz w:val="22"/>
          <w:lang w:val="es-ES_tradnl"/>
        </w:rPr>
        <w:instrText xml:space="preserve"> QUOTE </w:instrText>
      </w:r>
      <w:r w:rsidR="009B31E4" w:rsidRPr="009B31E4">
        <w:rPr>
          <w:rFonts w:ascii="Calibri" w:hAnsi="Calibri" w:cs="Calibri"/>
          <w:noProof/>
          <w:sz w:val="22"/>
        </w:rPr>
        <w:pict w14:anchorId="3B3C476F">
          <v:shape id="_x0000_i1127" type="#_x0000_t75" alt="" style="width:22.8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5F1&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235F1&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r&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2" o:title="" chromakey="white"/>
          </v:shape>
        </w:pict>
      </w:r>
      <w:r w:rsidRPr="00CA6B38">
        <w:rPr>
          <w:rFonts w:ascii="Calibri" w:hAnsi="Calibri" w:cs="Calibri"/>
          <w:sz w:val="22"/>
          <w:lang w:val="es-ES_tradnl"/>
        </w:rPr>
        <w:instrText xml:space="preserve"> </w:instrText>
      </w:r>
      <w:r w:rsidRPr="00CA6B38">
        <w:rPr>
          <w:rFonts w:ascii="Calibri" w:hAnsi="Calibri" w:cs="Calibri"/>
          <w:sz w:val="22"/>
          <w:lang w:val="es-ES_tradnl"/>
        </w:rPr>
        <w:fldChar w:fldCharType="separate"/>
      </w:r>
      <w:r w:rsidR="009B31E4" w:rsidRPr="009B31E4">
        <w:rPr>
          <w:rFonts w:ascii="Calibri" w:hAnsi="Calibri" w:cs="Calibri"/>
          <w:noProof/>
          <w:sz w:val="22"/>
        </w:rPr>
        <w:pict w14:anchorId="4FAB168B">
          <v:shape id="_x0000_i1126" type="#_x0000_t75" alt="" style="width:22.8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5F1&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235F1&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r&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2" o:title="" chromakey="white"/>
          </v:shape>
        </w:pict>
      </w:r>
      <w:r w:rsidRPr="00CA6B38">
        <w:rPr>
          <w:rFonts w:ascii="Calibri" w:hAnsi="Calibri" w:cs="Calibri"/>
          <w:sz w:val="22"/>
          <w:lang w:val="es-ES_tradnl"/>
        </w:rPr>
        <w:fldChar w:fldCharType="end"/>
      </w:r>
      <w:r w:rsidRPr="00CA6B38">
        <w:rPr>
          <w:rFonts w:ascii="Calibri" w:hAnsi="Calibri" w:cs="Calibri"/>
          <w:sz w:val="22"/>
          <w:lang w:val="es-ES_tradnl"/>
        </w:rPr>
        <w:t xml:space="preserve"> determinada por la calificación para Colombia EMBI. Las series de datos para estas variables fueron tomadas trimestralmente desde el año 2005 hasta el 2019</w:t>
      </w:r>
      <w:r w:rsidRPr="00CA6B38">
        <w:rPr>
          <w:rFonts w:ascii="Calibri" w:hAnsi="Calibri" w:cs="Calibri"/>
          <w:sz w:val="22"/>
          <w:lang w:val="es-ES_tradnl"/>
        </w:rPr>
        <w:t>.</w:t>
      </w:r>
    </w:p>
    <w:p w14:paraId="7301E886" w14:textId="77777777" w:rsidR="00CA6B38" w:rsidRDefault="00CA6B38" w:rsidP="00CA6B38">
      <w:pPr>
        <w:rPr>
          <w:i/>
          <w:iCs/>
          <w:sz w:val="22"/>
          <w:lang w:val="es-ES_tradnl"/>
        </w:rPr>
      </w:pPr>
    </w:p>
    <w:p w14:paraId="5E0E9DBC" w14:textId="6C10A53F" w:rsidR="00CA6B38" w:rsidRPr="00CA6B38" w:rsidRDefault="00CA6B38" w:rsidP="00CA6B38">
      <w:pPr>
        <w:rPr>
          <w:i/>
          <w:iCs/>
          <w:sz w:val="22"/>
          <w:lang w:val="es-ES_tradnl"/>
        </w:rPr>
      </w:pPr>
      <w:r>
        <w:rPr>
          <w:i/>
          <w:iCs/>
          <w:sz w:val="22"/>
          <w:lang w:val="es-ES_tradnl"/>
        </w:rPr>
        <w:t xml:space="preserve">Tabla 3. </w:t>
      </w:r>
      <w:r w:rsidRPr="00CA6B38">
        <w:rPr>
          <w:i/>
          <w:iCs/>
          <w:sz w:val="22"/>
          <w:lang w:val="es-ES_tradnl"/>
        </w:rPr>
        <w:t>Valores de los parámetros del modelo.</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A0" w:firstRow="1" w:lastRow="0" w:firstColumn="1" w:lastColumn="1" w:noHBand="0" w:noVBand="0"/>
      </w:tblPr>
      <w:tblGrid>
        <w:gridCol w:w="7013"/>
        <w:gridCol w:w="1232"/>
        <w:gridCol w:w="1253"/>
      </w:tblGrid>
      <w:tr w:rsidR="00CA6B38" w:rsidRPr="00CA6B38" w14:paraId="391FD3F7" w14:textId="77777777" w:rsidTr="00E37438">
        <w:tc>
          <w:tcPr>
            <w:tcW w:w="7013" w:type="dxa"/>
            <w:tcBorders>
              <w:top w:val="single" w:sz="6" w:space="0" w:color="auto"/>
              <w:left w:val="nil"/>
              <w:bottom w:val="single" w:sz="6" w:space="0" w:color="auto"/>
              <w:right w:val="nil"/>
            </w:tcBorders>
          </w:tcPr>
          <w:p w14:paraId="71C616C7" w14:textId="77777777" w:rsidR="00CA6B38" w:rsidRPr="00CA6B38" w:rsidRDefault="00CA6B38" w:rsidP="00E37438">
            <w:pPr>
              <w:autoSpaceDE w:val="0"/>
              <w:autoSpaceDN w:val="0"/>
              <w:adjustRightInd w:val="0"/>
              <w:jc w:val="center"/>
              <w:rPr>
                <w:sz w:val="22"/>
                <w:lang w:val="es-ES_tradnl"/>
              </w:rPr>
            </w:pPr>
            <w:r w:rsidRPr="00CA6B38">
              <w:rPr>
                <w:b/>
                <w:bCs/>
                <w:sz w:val="22"/>
                <w:lang w:val="es-ES_tradnl"/>
              </w:rPr>
              <w:t>Descripción</w:t>
            </w:r>
          </w:p>
        </w:tc>
        <w:tc>
          <w:tcPr>
            <w:tcW w:w="1232" w:type="dxa"/>
            <w:tcBorders>
              <w:top w:val="single" w:sz="6" w:space="0" w:color="auto"/>
              <w:left w:val="nil"/>
              <w:bottom w:val="single" w:sz="6" w:space="0" w:color="auto"/>
              <w:right w:val="nil"/>
            </w:tcBorders>
          </w:tcPr>
          <w:p w14:paraId="5764B632" w14:textId="77777777" w:rsidR="00CA6B38" w:rsidRPr="00CA6B38" w:rsidRDefault="00CA6B38" w:rsidP="00E37438">
            <w:pPr>
              <w:autoSpaceDE w:val="0"/>
              <w:autoSpaceDN w:val="0"/>
              <w:adjustRightInd w:val="0"/>
              <w:jc w:val="center"/>
              <w:rPr>
                <w:b/>
                <w:bCs/>
                <w:sz w:val="22"/>
                <w:lang w:val="es-ES_tradnl"/>
              </w:rPr>
            </w:pPr>
            <w:r w:rsidRPr="00CA6B38">
              <w:rPr>
                <w:b/>
                <w:bCs/>
                <w:sz w:val="22"/>
                <w:lang w:val="es-ES_tradnl"/>
              </w:rPr>
              <w:t>Parámetro</w:t>
            </w:r>
          </w:p>
        </w:tc>
        <w:tc>
          <w:tcPr>
            <w:tcW w:w="1253" w:type="dxa"/>
            <w:tcBorders>
              <w:top w:val="single" w:sz="6" w:space="0" w:color="auto"/>
              <w:left w:val="nil"/>
              <w:bottom w:val="single" w:sz="6" w:space="0" w:color="auto"/>
              <w:right w:val="nil"/>
            </w:tcBorders>
          </w:tcPr>
          <w:p w14:paraId="4DAE7734" w14:textId="77777777" w:rsidR="00CA6B38" w:rsidRPr="00CA6B38" w:rsidRDefault="00CA6B38" w:rsidP="00E37438">
            <w:pPr>
              <w:autoSpaceDE w:val="0"/>
              <w:autoSpaceDN w:val="0"/>
              <w:adjustRightInd w:val="0"/>
              <w:jc w:val="center"/>
              <w:rPr>
                <w:b/>
                <w:bCs/>
                <w:sz w:val="22"/>
                <w:lang w:val="es-ES_tradnl"/>
              </w:rPr>
            </w:pPr>
            <w:r w:rsidRPr="00CA6B38">
              <w:rPr>
                <w:b/>
                <w:bCs/>
                <w:sz w:val="22"/>
                <w:lang w:val="es-ES_tradnl"/>
              </w:rPr>
              <w:t>Valor</w:t>
            </w:r>
          </w:p>
        </w:tc>
      </w:tr>
      <w:tr w:rsidR="00CA6B38" w:rsidRPr="00CA6B38" w14:paraId="2A5E54DE" w14:textId="77777777" w:rsidTr="00E37438">
        <w:tc>
          <w:tcPr>
            <w:tcW w:w="9498" w:type="dxa"/>
            <w:gridSpan w:val="3"/>
            <w:tcBorders>
              <w:top w:val="single" w:sz="6" w:space="0" w:color="auto"/>
              <w:left w:val="nil"/>
              <w:bottom w:val="single" w:sz="6" w:space="0" w:color="auto"/>
              <w:right w:val="nil"/>
            </w:tcBorders>
          </w:tcPr>
          <w:p w14:paraId="15138EEA" w14:textId="77777777" w:rsidR="00CA6B38" w:rsidRPr="00CA6B38" w:rsidRDefault="00CA6B38" w:rsidP="00E37438">
            <w:pPr>
              <w:autoSpaceDE w:val="0"/>
              <w:autoSpaceDN w:val="0"/>
              <w:adjustRightInd w:val="0"/>
              <w:rPr>
                <w:sz w:val="22"/>
                <w:lang w:val="es-ES_tradnl"/>
              </w:rPr>
            </w:pPr>
            <w:r w:rsidRPr="00CA6B38">
              <w:rPr>
                <w:sz w:val="22"/>
                <w:lang w:val="es-ES_tradnl"/>
              </w:rPr>
              <w:t>Déficit fiscal</w:t>
            </w:r>
          </w:p>
        </w:tc>
      </w:tr>
      <w:tr w:rsidR="00CA6B38" w:rsidRPr="00CA6B38" w14:paraId="6A2AB8FF" w14:textId="77777777" w:rsidTr="00E37438">
        <w:tc>
          <w:tcPr>
            <w:tcW w:w="7013" w:type="dxa"/>
            <w:tcBorders>
              <w:top w:val="single" w:sz="6" w:space="0" w:color="auto"/>
              <w:left w:val="nil"/>
              <w:bottom w:val="single" w:sz="6" w:space="0" w:color="auto"/>
              <w:right w:val="nil"/>
            </w:tcBorders>
          </w:tcPr>
          <w:p w14:paraId="7FEA826A" w14:textId="77777777" w:rsidR="00CA6B38" w:rsidRPr="00CA6B38" w:rsidRDefault="00CA6B38" w:rsidP="00E37438">
            <w:pPr>
              <w:autoSpaceDE w:val="0"/>
              <w:autoSpaceDN w:val="0"/>
              <w:adjustRightInd w:val="0"/>
              <w:rPr>
                <w:sz w:val="22"/>
                <w:lang w:val="es-ES_tradnl"/>
              </w:rPr>
            </w:pPr>
            <w:r w:rsidRPr="00CA6B38">
              <w:rPr>
                <w:sz w:val="22"/>
                <w:lang w:val="es-ES_tradnl"/>
              </w:rPr>
              <w:t>déficit fiscal estructural</w:t>
            </w:r>
          </w:p>
        </w:tc>
        <w:tc>
          <w:tcPr>
            <w:tcW w:w="1232" w:type="dxa"/>
            <w:tcBorders>
              <w:top w:val="single" w:sz="6" w:space="0" w:color="auto"/>
              <w:left w:val="nil"/>
              <w:bottom w:val="single" w:sz="6" w:space="0" w:color="auto"/>
              <w:right w:val="nil"/>
            </w:tcBorders>
          </w:tcPr>
          <w:p w14:paraId="629A1E6F"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395F1F74">
                <v:shape id="_x0000_i1125" type="#_x0000_t75" alt="" style="width:13.2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37D8B&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37D8B&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lt;/m:t&gt;&lt;/m:r&gt;&lt;/m:e&gt;&lt;m:sub&gt;&lt;m:r&gt;&lt;w:rPr&gt;&lt;w:rFonts w:ascii=&quot;Cambria Math&quot; w:h-ansi=&quot;Cambria Math&quot; w:cs=&quot;Calibri Light&quot;/&gt;&lt;wx:font wx:val=&quot;Cambria Math&quot;/&gt;&lt;w:i/&gt;&lt;w:lang w:val=&quot;ES-TRAD&quot;/&gt;&lt;/w:rPr&gt;&lt;m:t&gt;o&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3" o:title="" chromakey="white"/>
                </v:shape>
              </w:pict>
            </w:r>
          </w:p>
        </w:tc>
        <w:tc>
          <w:tcPr>
            <w:tcW w:w="1253" w:type="dxa"/>
            <w:tcBorders>
              <w:top w:val="single" w:sz="6" w:space="0" w:color="auto"/>
              <w:left w:val="nil"/>
              <w:bottom w:val="single" w:sz="6" w:space="0" w:color="auto"/>
              <w:right w:val="nil"/>
            </w:tcBorders>
            <w:vAlign w:val="center"/>
          </w:tcPr>
          <w:p w14:paraId="4D8E60F7"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-0.0008881</w:t>
            </w:r>
          </w:p>
        </w:tc>
      </w:tr>
      <w:tr w:rsidR="00CA6B38" w:rsidRPr="00CA6B38" w14:paraId="166B7F63" w14:textId="77777777" w:rsidTr="00E37438">
        <w:tc>
          <w:tcPr>
            <w:tcW w:w="7013" w:type="dxa"/>
            <w:tcBorders>
              <w:top w:val="single" w:sz="6" w:space="0" w:color="auto"/>
              <w:left w:val="nil"/>
              <w:bottom w:val="single" w:sz="6" w:space="0" w:color="auto"/>
              <w:right w:val="nil"/>
            </w:tcBorders>
          </w:tcPr>
          <w:p w14:paraId="0408039B" w14:textId="77777777" w:rsidR="00CA6B38" w:rsidRPr="00CA6B38" w:rsidRDefault="00CA6B38" w:rsidP="00E37438">
            <w:pPr>
              <w:autoSpaceDE w:val="0"/>
              <w:autoSpaceDN w:val="0"/>
              <w:adjustRightInd w:val="0"/>
              <w:rPr>
                <w:sz w:val="22"/>
                <w:lang w:val="es-ES_tradnl"/>
              </w:rPr>
            </w:pPr>
            <w:r w:rsidRPr="00CA6B38">
              <w:rPr>
                <w:sz w:val="22"/>
                <w:lang w:val="es-ES_tradnl"/>
              </w:rPr>
              <w:t>Respuesta del déficit fiscal al ciclo económico</w:t>
            </w:r>
          </w:p>
        </w:tc>
        <w:tc>
          <w:tcPr>
            <w:tcW w:w="1232" w:type="dxa"/>
            <w:tcBorders>
              <w:top w:val="single" w:sz="6" w:space="0" w:color="auto"/>
              <w:left w:val="nil"/>
              <w:bottom w:val="single" w:sz="6" w:space="0" w:color="auto"/>
              <w:right w:val="nil"/>
            </w:tcBorders>
          </w:tcPr>
          <w:p w14:paraId="427EF32D"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597F2979">
                <v:shape id="_x0000_i1124" type="#_x0000_t75" alt="" style="width:13.2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C462F&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C462F&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lt;/m:t&gt;&lt;/m:r&gt;&lt;/m:e&gt;&lt;m:sub&gt;&lt;m:r&gt;&lt;w:rPr&gt;&lt;w:rFonts w:ascii=&quot;Cambria Math&quot; w:h-ansi=&quot;Cambria Math&quot; w:cs=&quot;Calibri Light&quot;/&gt;&lt;wx:font wx:val=&quot;Cambria Math&quot;/&gt;&lt;w:i/&gt;&lt;w:lang w:val=&quot;ES-TRAD&quot;/&gt;&lt;/w:rPr&gt;&lt;m:t&gt;1&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4" o:title="" chromakey="white"/>
                </v:shape>
              </w:pict>
            </w:r>
          </w:p>
        </w:tc>
        <w:tc>
          <w:tcPr>
            <w:tcW w:w="1253" w:type="dxa"/>
            <w:tcBorders>
              <w:top w:val="single" w:sz="6" w:space="0" w:color="auto"/>
              <w:left w:val="nil"/>
              <w:bottom w:val="single" w:sz="6" w:space="0" w:color="auto"/>
              <w:right w:val="nil"/>
            </w:tcBorders>
            <w:vAlign w:val="center"/>
          </w:tcPr>
          <w:p w14:paraId="1B43E316"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0.5764578</w:t>
            </w:r>
          </w:p>
        </w:tc>
      </w:tr>
      <w:tr w:rsidR="00CA6B38" w:rsidRPr="00CA6B38" w14:paraId="44EE6215" w14:textId="77777777" w:rsidTr="00E37438">
        <w:tc>
          <w:tcPr>
            <w:tcW w:w="9498" w:type="dxa"/>
            <w:gridSpan w:val="3"/>
            <w:tcBorders>
              <w:top w:val="single" w:sz="6" w:space="0" w:color="auto"/>
              <w:left w:val="nil"/>
              <w:bottom w:val="single" w:sz="6" w:space="0" w:color="auto"/>
              <w:right w:val="nil"/>
            </w:tcBorders>
          </w:tcPr>
          <w:p w14:paraId="3502BBE0" w14:textId="77777777" w:rsidR="00CA6B38" w:rsidRPr="00CA6B38" w:rsidRDefault="00CA6B38" w:rsidP="00E37438">
            <w:pPr>
              <w:autoSpaceDE w:val="0"/>
              <w:autoSpaceDN w:val="0"/>
              <w:adjustRightInd w:val="0"/>
              <w:rPr>
                <w:sz w:val="22"/>
                <w:lang w:val="es-ES_tradnl"/>
              </w:rPr>
            </w:pPr>
            <w:r w:rsidRPr="00CA6B38">
              <w:rPr>
                <w:sz w:val="22"/>
                <w:lang w:val="es-ES_tradnl"/>
              </w:rPr>
              <w:t>Regla de Taylor</w:t>
            </w:r>
          </w:p>
        </w:tc>
      </w:tr>
      <w:tr w:rsidR="00CA6B38" w:rsidRPr="00CA6B38" w14:paraId="0F906C59" w14:textId="77777777" w:rsidTr="00E37438">
        <w:tc>
          <w:tcPr>
            <w:tcW w:w="7013" w:type="dxa"/>
            <w:tcBorders>
              <w:top w:val="single" w:sz="6" w:space="0" w:color="auto"/>
              <w:left w:val="nil"/>
              <w:bottom w:val="single" w:sz="6" w:space="0" w:color="auto"/>
              <w:right w:val="nil"/>
            </w:tcBorders>
          </w:tcPr>
          <w:p w14:paraId="08359414" w14:textId="77777777" w:rsidR="00CA6B38" w:rsidRPr="00CA6B38" w:rsidRDefault="00CA6B38" w:rsidP="00E37438">
            <w:pPr>
              <w:autoSpaceDE w:val="0"/>
              <w:autoSpaceDN w:val="0"/>
              <w:adjustRightInd w:val="0"/>
              <w:rPr>
                <w:sz w:val="22"/>
                <w:lang w:val="es-ES_tradnl"/>
              </w:rPr>
            </w:pPr>
            <w:r w:rsidRPr="00CA6B38">
              <w:rPr>
                <w:sz w:val="22"/>
                <w:lang w:val="es-ES_tradnl"/>
              </w:rPr>
              <w:t>Inercia de las decisiones de política monetaria</w:t>
            </w:r>
          </w:p>
        </w:tc>
        <w:tc>
          <w:tcPr>
            <w:tcW w:w="1232" w:type="dxa"/>
            <w:tcBorders>
              <w:top w:val="single" w:sz="6" w:space="0" w:color="auto"/>
              <w:left w:val="nil"/>
              <w:bottom w:val="single" w:sz="6" w:space="0" w:color="auto"/>
              <w:right w:val="nil"/>
            </w:tcBorders>
          </w:tcPr>
          <w:p w14:paraId="0A7E6B95"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4EDE6058">
                <v:shape id="_x0000_i1123" type="#_x0000_t75" alt="" style="width:8.8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5C4&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205C4&quot;&gt;&lt;m:oMathPara&gt;&lt;m:oMath&gt;&lt;m:r&gt;&lt;w:rPr&gt;&lt;w:rFonts w:ascii=&quot;Cambria Math&quot; w:h-ansi=&quot;Cambria Math&quot; w:cs=&quot;Calibri Light&quot;/&gt;&lt;wx:font wx:val=&quot;Cambria Math&quot;/&gt;&lt;w:i/&gt;&lt;w:lang w:val=&quot;ES-TRAD&quot;/&gt;&lt;/w:rPr&gt;&lt;m:t&gt;Ï•&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p>
        </w:tc>
        <w:tc>
          <w:tcPr>
            <w:tcW w:w="1253" w:type="dxa"/>
            <w:tcBorders>
              <w:top w:val="single" w:sz="6" w:space="0" w:color="auto"/>
              <w:left w:val="nil"/>
              <w:bottom w:val="single" w:sz="6" w:space="0" w:color="auto"/>
              <w:right w:val="nil"/>
            </w:tcBorders>
            <w:vAlign w:val="center"/>
          </w:tcPr>
          <w:p w14:paraId="2EF1DBF7"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0.8220532</w:t>
            </w:r>
          </w:p>
        </w:tc>
      </w:tr>
      <w:tr w:rsidR="00CA6B38" w:rsidRPr="00CA6B38" w14:paraId="684929C9" w14:textId="77777777" w:rsidTr="00E37438">
        <w:tc>
          <w:tcPr>
            <w:tcW w:w="7013" w:type="dxa"/>
            <w:tcBorders>
              <w:top w:val="single" w:sz="6" w:space="0" w:color="auto"/>
              <w:left w:val="nil"/>
              <w:bottom w:val="single" w:sz="6" w:space="0" w:color="auto"/>
              <w:right w:val="nil"/>
            </w:tcBorders>
          </w:tcPr>
          <w:p w14:paraId="32994F1A" w14:textId="77777777" w:rsidR="00CA6B38" w:rsidRPr="00CA6B38" w:rsidRDefault="00CA6B38" w:rsidP="00E37438">
            <w:pPr>
              <w:autoSpaceDE w:val="0"/>
              <w:autoSpaceDN w:val="0"/>
              <w:adjustRightInd w:val="0"/>
              <w:rPr>
                <w:sz w:val="22"/>
                <w:lang w:val="es-ES_tradnl"/>
              </w:rPr>
            </w:pPr>
            <w:r w:rsidRPr="00CA6B38">
              <w:rPr>
                <w:sz w:val="22"/>
                <w:lang w:val="es-ES_tradnl"/>
              </w:rPr>
              <w:t>Tasa de interés real natural promedio</w:t>
            </w:r>
          </w:p>
        </w:tc>
        <w:tc>
          <w:tcPr>
            <w:tcW w:w="1232" w:type="dxa"/>
            <w:tcBorders>
              <w:top w:val="single" w:sz="6" w:space="0" w:color="auto"/>
              <w:left w:val="nil"/>
              <w:bottom w:val="single" w:sz="6" w:space="0" w:color="auto"/>
              <w:right w:val="nil"/>
            </w:tcBorders>
          </w:tcPr>
          <w:p w14:paraId="3E7C57D6"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0DA0D725">
                <v:shape id="_x0000_i1122"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0A80&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E0A80&quot;&gt;&lt;m:oMathPara&gt;&lt;m:oMath&gt;&lt;m:acc&gt;&lt;m:accPr&gt;&lt;m:chr m:val=&quot;Ì…&quot;/&gt;&lt;m:ctrlPr&gt;&lt;w:rPr&gt;&lt;w:rFonts w:ascii=&quot;Cambria Math&quot; w:h-ansi=&quot;Cambria Math&quot; w:cs=&quot;Calibri Light&quot;/&gt;&lt;wx:font wx:val=&quot;Cambria Math&quot;/&gt;&lt;w:i/&gt;&lt;w:lang w:val=&quot;ES-TRAD&quot;/&gt;&lt;/w:rPr&gt;&lt;/m:ctrlPr&gt;&lt;/m:accPr&gt;&lt;m:e&gt;&lt;m:r&gt;&lt;w:rPr&gt;&lt;w:rFonts w:ascii=&quot;Cambria Math&quot; w:h-ansi=&quot;Cambria Math&quot; w:cs=&quot;Calibri Light&quot;/&gt;&lt;wx:font wx:val=&quot;Cambria Math&quot;/&gt;&lt;w:i/&gt;&lt;w:lang w:val=&quot;ES-TRAD&quot;/&gt;&lt;/w:rPr&gt;&lt;m:t&gt;r&lt;/m:t&gt;&lt;/m:r&gt;&lt;/m:e&gt;&lt;/m:acc&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6" o:title="" chromakey="white"/>
                </v:shape>
              </w:pict>
            </w:r>
          </w:p>
        </w:tc>
        <w:tc>
          <w:tcPr>
            <w:tcW w:w="1253" w:type="dxa"/>
            <w:tcBorders>
              <w:top w:val="single" w:sz="6" w:space="0" w:color="auto"/>
              <w:left w:val="nil"/>
              <w:bottom w:val="single" w:sz="6" w:space="0" w:color="auto"/>
              <w:right w:val="nil"/>
            </w:tcBorders>
            <w:vAlign w:val="center"/>
          </w:tcPr>
          <w:p w14:paraId="434279D8"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0.0145675</w:t>
            </w:r>
          </w:p>
        </w:tc>
      </w:tr>
      <w:tr w:rsidR="00CA6B38" w:rsidRPr="00CA6B38" w14:paraId="37258ADA" w14:textId="77777777" w:rsidTr="00E37438">
        <w:tc>
          <w:tcPr>
            <w:tcW w:w="7013" w:type="dxa"/>
            <w:tcBorders>
              <w:top w:val="single" w:sz="6" w:space="0" w:color="auto"/>
              <w:left w:val="nil"/>
              <w:bottom w:val="single" w:sz="6" w:space="0" w:color="auto"/>
              <w:right w:val="nil"/>
            </w:tcBorders>
          </w:tcPr>
          <w:p w14:paraId="59D4E773" w14:textId="77777777" w:rsidR="00CA6B38" w:rsidRPr="00CA6B38" w:rsidRDefault="00CA6B38" w:rsidP="00E37438">
            <w:pPr>
              <w:autoSpaceDE w:val="0"/>
              <w:autoSpaceDN w:val="0"/>
              <w:adjustRightInd w:val="0"/>
              <w:rPr>
                <w:sz w:val="22"/>
                <w:lang w:val="es-ES_tradnl"/>
              </w:rPr>
            </w:pPr>
            <w:r w:rsidRPr="00CA6B38">
              <w:rPr>
                <w:sz w:val="22"/>
                <w:lang w:val="es-ES_tradnl"/>
              </w:rPr>
              <w:t>Respuesta de la política monetaria a la inflación</w:t>
            </w:r>
          </w:p>
        </w:tc>
        <w:tc>
          <w:tcPr>
            <w:tcW w:w="1232" w:type="dxa"/>
            <w:tcBorders>
              <w:top w:val="single" w:sz="6" w:space="0" w:color="auto"/>
              <w:left w:val="nil"/>
              <w:bottom w:val="single" w:sz="6" w:space="0" w:color="auto"/>
              <w:right w:val="nil"/>
            </w:tcBorders>
          </w:tcPr>
          <w:p w14:paraId="57C0020A"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03CB7E3C">
                <v:shape id="_x0000_i1121" type="#_x0000_t75" alt="" style="width:1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58&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24258&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lt;/m:t&gt;&lt;/m:r&gt;&lt;/m:e&gt;&lt;m:sub&gt;&lt;m:r&gt;&lt;w:rPr&gt;&lt;w:rFonts w:ascii=&quot;Cambria Math&quot; w:h-ansi=&quot;Cambria Math&quot; w:cs=&quot;Calibri Light&quot;/&gt;&lt;wx:font wx:val=&quot;Cambria Math&quot;/&gt;&lt;w:i/&gt;&lt;w:lang w:val=&quot;ES-TRAD&quot;/&gt;&lt;/w:rPr&gt;&lt;m:t&gt;Ï€&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7" o:title="" chromakey="white"/>
                </v:shape>
              </w:pict>
            </w:r>
          </w:p>
        </w:tc>
        <w:tc>
          <w:tcPr>
            <w:tcW w:w="1253" w:type="dxa"/>
            <w:tcBorders>
              <w:top w:val="single" w:sz="6" w:space="0" w:color="auto"/>
              <w:left w:val="nil"/>
              <w:bottom w:val="single" w:sz="6" w:space="0" w:color="auto"/>
              <w:right w:val="nil"/>
            </w:tcBorders>
            <w:vAlign w:val="center"/>
          </w:tcPr>
          <w:p w14:paraId="7C1B1C9C"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1.7591480</w:t>
            </w:r>
          </w:p>
        </w:tc>
      </w:tr>
      <w:tr w:rsidR="00CA6B38" w:rsidRPr="00CA6B38" w14:paraId="1AB3BA9D" w14:textId="77777777" w:rsidTr="00E37438">
        <w:tc>
          <w:tcPr>
            <w:tcW w:w="7013" w:type="dxa"/>
            <w:tcBorders>
              <w:top w:val="single" w:sz="6" w:space="0" w:color="auto"/>
              <w:left w:val="nil"/>
              <w:bottom w:val="single" w:sz="6" w:space="0" w:color="auto"/>
              <w:right w:val="nil"/>
            </w:tcBorders>
          </w:tcPr>
          <w:p w14:paraId="364CA28A" w14:textId="77777777" w:rsidR="00CA6B38" w:rsidRPr="00CA6B38" w:rsidRDefault="00CA6B38" w:rsidP="00E37438">
            <w:pPr>
              <w:autoSpaceDE w:val="0"/>
              <w:autoSpaceDN w:val="0"/>
              <w:adjustRightInd w:val="0"/>
              <w:rPr>
                <w:sz w:val="22"/>
                <w:lang w:val="es-ES_tradnl"/>
              </w:rPr>
            </w:pPr>
            <w:r w:rsidRPr="00CA6B38">
              <w:rPr>
                <w:sz w:val="22"/>
                <w:lang w:val="es-ES_tradnl"/>
              </w:rPr>
              <w:t>Respuesta de la política monetaria al producto</w:t>
            </w:r>
          </w:p>
        </w:tc>
        <w:tc>
          <w:tcPr>
            <w:tcW w:w="1232" w:type="dxa"/>
            <w:tcBorders>
              <w:top w:val="single" w:sz="6" w:space="0" w:color="auto"/>
              <w:left w:val="nil"/>
              <w:bottom w:val="single" w:sz="6" w:space="0" w:color="auto"/>
              <w:right w:val="nil"/>
            </w:tcBorders>
          </w:tcPr>
          <w:p w14:paraId="35045DB4"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6086A712">
                <v:shape id="_x0000_i1120" type="#_x0000_t75" alt="" style="width:12.5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ABE&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D4ABE&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lt;/m:t&gt;&lt;/m:r&gt;&lt;/m:e&gt;&lt;m:sub&gt;&lt;m:r&gt;&lt;w:rPr&gt;&lt;w:rFonts w:ascii=&quot;Cambria Math&quot; w:h-ansi=&quot;Cambria Math&quot; w:cs=&quot;Calibri Light&quot;/&gt;&lt;wx:font wx:val=&quot;Cambria Math&quot;/&gt;&lt;w:i/&gt;&lt;w:lang w:val=&quot;ES-TRAD&quot;/&gt;&lt;/w:rPr&gt;&lt;m:t&gt;y&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8" o:title="" chromakey="white"/>
                </v:shape>
              </w:pict>
            </w:r>
          </w:p>
        </w:tc>
        <w:tc>
          <w:tcPr>
            <w:tcW w:w="1253" w:type="dxa"/>
            <w:tcBorders>
              <w:top w:val="single" w:sz="6" w:space="0" w:color="auto"/>
              <w:left w:val="nil"/>
              <w:bottom w:val="single" w:sz="6" w:space="0" w:color="auto"/>
              <w:right w:val="nil"/>
            </w:tcBorders>
            <w:vAlign w:val="center"/>
          </w:tcPr>
          <w:p w14:paraId="038B8681"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0.9264861</w:t>
            </w:r>
          </w:p>
        </w:tc>
      </w:tr>
      <w:tr w:rsidR="00CA6B38" w:rsidRPr="00CA6B38" w14:paraId="462385F3" w14:textId="77777777" w:rsidTr="00E37438">
        <w:tc>
          <w:tcPr>
            <w:tcW w:w="9498" w:type="dxa"/>
            <w:gridSpan w:val="3"/>
            <w:tcBorders>
              <w:top w:val="single" w:sz="6" w:space="0" w:color="auto"/>
              <w:left w:val="nil"/>
              <w:bottom w:val="single" w:sz="6" w:space="0" w:color="auto"/>
              <w:right w:val="nil"/>
            </w:tcBorders>
          </w:tcPr>
          <w:p w14:paraId="7C0AD1E7" w14:textId="77777777" w:rsidR="00CA6B38" w:rsidRPr="00CA6B38" w:rsidRDefault="00CA6B38" w:rsidP="00E37438">
            <w:pPr>
              <w:autoSpaceDE w:val="0"/>
              <w:autoSpaceDN w:val="0"/>
              <w:adjustRightInd w:val="0"/>
              <w:rPr>
                <w:sz w:val="22"/>
                <w:lang w:val="es-ES_tradnl"/>
              </w:rPr>
            </w:pPr>
            <w:r w:rsidRPr="00CA6B38">
              <w:rPr>
                <w:sz w:val="22"/>
                <w:lang w:val="es-ES_tradnl"/>
              </w:rPr>
              <w:t>Curva IS dinámica</w:t>
            </w:r>
          </w:p>
        </w:tc>
      </w:tr>
      <w:tr w:rsidR="00CA6B38" w:rsidRPr="00CA6B38" w14:paraId="48F0EFF3" w14:textId="77777777" w:rsidTr="00E37438">
        <w:tc>
          <w:tcPr>
            <w:tcW w:w="7013" w:type="dxa"/>
            <w:tcBorders>
              <w:top w:val="single" w:sz="6" w:space="0" w:color="auto"/>
              <w:left w:val="nil"/>
              <w:bottom w:val="single" w:sz="6" w:space="0" w:color="auto"/>
              <w:right w:val="nil"/>
            </w:tcBorders>
          </w:tcPr>
          <w:p w14:paraId="5BD69F01" w14:textId="77777777" w:rsidR="00CA6B38" w:rsidRPr="00CA6B38" w:rsidRDefault="00CA6B38" w:rsidP="00E37438">
            <w:pPr>
              <w:autoSpaceDE w:val="0"/>
              <w:autoSpaceDN w:val="0"/>
              <w:adjustRightInd w:val="0"/>
              <w:rPr>
                <w:sz w:val="22"/>
                <w:lang w:val="es-ES_tradnl"/>
              </w:rPr>
            </w:pPr>
            <w:r w:rsidRPr="00CA6B38">
              <w:rPr>
                <w:sz w:val="22"/>
                <w:lang w:val="es-ES_tradnl"/>
              </w:rPr>
              <w:t>Inercia del ciclo económico</w:t>
            </w:r>
          </w:p>
        </w:tc>
        <w:tc>
          <w:tcPr>
            <w:tcW w:w="1232" w:type="dxa"/>
            <w:tcBorders>
              <w:top w:val="single" w:sz="6" w:space="0" w:color="auto"/>
              <w:left w:val="nil"/>
              <w:bottom w:val="single" w:sz="6" w:space="0" w:color="auto"/>
              <w:right w:val="nil"/>
            </w:tcBorders>
          </w:tcPr>
          <w:p w14:paraId="539EE080"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0AD8128D">
                <v:shape id="_x0000_i1119" type="#_x0000_t75" alt="" style="width:7.35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47D4E&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47D4E&quot;&gt;&lt;m:oMathPara&gt;&lt;m:oMath&gt;&lt;m:r&gt;&lt;w:rPr&gt;&lt;w:rFonts w:ascii=&quot;Cambria Math&quot; w:h-ansi=&quot;Cambria Math&quot; w:cs=&quot;Calibri Light&quot;/&gt;&lt;wx:font wx:val=&quot;Cambria Math&quot;/&gt;&lt;w:i/&gt;&lt;w:lang w:val=&quot;ES-TRAD&quot;/&gt;&lt;/w:rPr&gt;&lt;m:t&gt;Î_&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9" o:title="" chromakey="white"/>
                </v:shape>
              </w:pict>
            </w:r>
          </w:p>
        </w:tc>
        <w:tc>
          <w:tcPr>
            <w:tcW w:w="1253" w:type="dxa"/>
            <w:tcBorders>
              <w:top w:val="single" w:sz="6" w:space="0" w:color="auto"/>
              <w:left w:val="nil"/>
              <w:bottom w:val="single" w:sz="6" w:space="0" w:color="auto"/>
              <w:right w:val="nil"/>
            </w:tcBorders>
            <w:vAlign w:val="center"/>
          </w:tcPr>
          <w:p w14:paraId="11176100"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0.9889188</w:t>
            </w:r>
          </w:p>
        </w:tc>
      </w:tr>
      <w:tr w:rsidR="00CA6B38" w:rsidRPr="00CA6B38" w14:paraId="2BA3D4B8" w14:textId="77777777" w:rsidTr="00E37438">
        <w:tc>
          <w:tcPr>
            <w:tcW w:w="7013" w:type="dxa"/>
            <w:tcBorders>
              <w:top w:val="single" w:sz="6" w:space="0" w:color="auto"/>
              <w:left w:val="nil"/>
              <w:bottom w:val="single" w:sz="6" w:space="0" w:color="auto"/>
              <w:right w:val="nil"/>
            </w:tcBorders>
          </w:tcPr>
          <w:p w14:paraId="5E322AE5" w14:textId="77777777" w:rsidR="00CA6B38" w:rsidRPr="00CA6B38" w:rsidRDefault="00CA6B38" w:rsidP="00E37438">
            <w:pPr>
              <w:autoSpaceDE w:val="0"/>
              <w:autoSpaceDN w:val="0"/>
              <w:adjustRightInd w:val="0"/>
              <w:rPr>
                <w:sz w:val="22"/>
                <w:lang w:val="es-ES_tradnl"/>
              </w:rPr>
            </w:pPr>
            <w:r w:rsidRPr="00CA6B38">
              <w:rPr>
                <w:sz w:val="22"/>
                <w:lang w:val="es-ES_tradnl"/>
              </w:rPr>
              <w:t>Efecto de la tasa de interés en la brecha del producto</w:t>
            </w:r>
          </w:p>
        </w:tc>
        <w:tc>
          <w:tcPr>
            <w:tcW w:w="1232" w:type="dxa"/>
            <w:tcBorders>
              <w:top w:val="single" w:sz="6" w:space="0" w:color="auto"/>
              <w:left w:val="nil"/>
              <w:bottom w:val="single" w:sz="6" w:space="0" w:color="auto"/>
              <w:right w:val="nil"/>
            </w:tcBorders>
          </w:tcPr>
          <w:p w14:paraId="45A4896E"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73F93DC4">
                <v:shape id="_x0000_i1118" type="#_x0000_t75" alt="" style="width:8.1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1F0E&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21F0E&quot;&gt;&lt;m:oMathPara&gt;&lt;m:oMath&gt;&lt;m:r&gt;&lt;w:rPr&gt;&lt;w:rFonts w:ascii=&quot;Cambria Math&quot; w:h-ansi=&quot;Cambria Math&quot; w:cs=&quot;Calibri Light&quot;/&gt;&lt;wx:font wx:val=&quot;Cambria Math&quot;/&gt;&lt;w:i/&gt;&lt;w:lang w:val=&quot;ES-TRAD&quot;/&gt;&lt;/w:rPr&gt;&lt;m:t&gt;Î´&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0" o:title="" chromakey="white"/>
                </v:shape>
              </w:pict>
            </w:r>
          </w:p>
        </w:tc>
        <w:tc>
          <w:tcPr>
            <w:tcW w:w="1253" w:type="dxa"/>
            <w:tcBorders>
              <w:top w:val="single" w:sz="6" w:space="0" w:color="auto"/>
              <w:left w:val="nil"/>
              <w:bottom w:val="single" w:sz="6" w:space="0" w:color="auto"/>
              <w:right w:val="nil"/>
            </w:tcBorders>
            <w:vAlign w:val="center"/>
          </w:tcPr>
          <w:p w14:paraId="54390C90"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0.1176787</w:t>
            </w:r>
          </w:p>
        </w:tc>
      </w:tr>
      <w:tr w:rsidR="00CA6B38" w:rsidRPr="00CA6B38" w14:paraId="4E58A891" w14:textId="77777777" w:rsidTr="00E37438">
        <w:tc>
          <w:tcPr>
            <w:tcW w:w="7013" w:type="dxa"/>
            <w:tcBorders>
              <w:top w:val="single" w:sz="6" w:space="0" w:color="auto"/>
              <w:left w:val="nil"/>
              <w:bottom w:val="single" w:sz="6" w:space="0" w:color="auto"/>
              <w:right w:val="nil"/>
            </w:tcBorders>
          </w:tcPr>
          <w:p w14:paraId="4724599B" w14:textId="77777777" w:rsidR="00CA6B38" w:rsidRPr="00CA6B38" w:rsidRDefault="00CA6B38" w:rsidP="00E37438">
            <w:pPr>
              <w:autoSpaceDE w:val="0"/>
              <w:autoSpaceDN w:val="0"/>
              <w:adjustRightInd w:val="0"/>
              <w:rPr>
                <w:sz w:val="22"/>
                <w:lang w:val="es-ES_tradnl"/>
              </w:rPr>
            </w:pPr>
            <w:r w:rsidRPr="00CA6B38">
              <w:rPr>
                <w:sz w:val="22"/>
                <w:lang w:val="es-ES_tradnl"/>
              </w:rPr>
              <w:t>Efecto de la tasa de cambio en la brecha del producto</w:t>
            </w:r>
          </w:p>
        </w:tc>
        <w:tc>
          <w:tcPr>
            <w:tcW w:w="1232" w:type="dxa"/>
            <w:tcBorders>
              <w:top w:val="single" w:sz="6" w:space="0" w:color="auto"/>
              <w:left w:val="nil"/>
              <w:bottom w:val="single" w:sz="6" w:space="0" w:color="auto"/>
              <w:right w:val="nil"/>
            </w:tcBorders>
          </w:tcPr>
          <w:p w14:paraId="588E6314"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52FF4172">
                <v:shape id="_x0000_i1117" type="#_x0000_t75" alt="" style="width:12.5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1DAA&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61DAA&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q&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1" o:title="" chromakey="white"/>
                </v:shape>
              </w:pict>
            </w:r>
          </w:p>
        </w:tc>
        <w:tc>
          <w:tcPr>
            <w:tcW w:w="1253" w:type="dxa"/>
            <w:tcBorders>
              <w:top w:val="single" w:sz="6" w:space="0" w:color="auto"/>
              <w:left w:val="nil"/>
              <w:bottom w:val="single" w:sz="6" w:space="0" w:color="auto"/>
              <w:right w:val="nil"/>
            </w:tcBorders>
            <w:vAlign w:val="center"/>
          </w:tcPr>
          <w:p w14:paraId="697BD2F3"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0.0191686</w:t>
            </w:r>
          </w:p>
        </w:tc>
      </w:tr>
      <w:tr w:rsidR="00CA6B38" w:rsidRPr="00CA6B38" w14:paraId="7E576071" w14:textId="77777777" w:rsidTr="00E37438">
        <w:tc>
          <w:tcPr>
            <w:tcW w:w="7013" w:type="dxa"/>
            <w:tcBorders>
              <w:top w:val="single" w:sz="6" w:space="0" w:color="auto"/>
              <w:left w:val="nil"/>
              <w:bottom w:val="single" w:sz="6" w:space="0" w:color="auto"/>
              <w:right w:val="nil"/>
            </w:tcBorders>
          </w:tcPr>
          <w:p w14:paraId="3A4798EB" w14:textId="77777777" w:rsidR="00CA6B38" w:rsidRPr="00CA6B38" w:rsidRDefault="00CA6B38" w:rsidP="00E37438">
            <w:pPr>
              <w:autoSpaceDE w:val="0"/>
              <w:autoSpaceDN w:val="0"/>
              <w:adjustRightInd w:val="0"/>
              <w:rPr>
                <w:sz w:val="22"/>
                <w:lang w:val="es-ES_tradnl"/>
              </w:rPr>
            </w:pPr>
            <w:r w:rsidRPr="00CA6B38">
              <w:rPr>
                <w:sz w:val="22"/>
                <w:lang w:val="es-ES_tradnl"/>
              </w:rPr>
              <w:t>Relación entre ciclo económico y el ciclo económico externo</w:t>
            </w:r>
          </w:p>
        </w:tc>
        <w:tc>
          <w:tcPr>
            <w:tcW w:w="1232" w:type="dxa"/>
            <w:tcBorders>
              <w:top w:val="single" w:sz="6" w:space="0" w:color="auto"/>
              <w:left w:val="nil"/>
              <w:bottom w:val="single" w:sz="6" w:space="0" w:color="auto"/>
              <w:right w:val="nil"/>
            </w:tcBorders>
          </w:tcPr>
          <w:p w14:paraId="67C24BD5"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067DA142">
                <v:shape id="_x0000_i1116" type="#_x0000_t75" alt="" style="width:1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302&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56302&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x&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2" o:title="" chromakey="white"/>
                </v:shape>
              </w:pict>
            </w:r>
          </w:p>
        </w:tc>
        <w:tc>
          <w:tcPr>
            <w:tcW w:w="1253" w:type="dxa"/>
            <w:tcBorders>
              <w:top w:val="single" w:sz="6" w:space="0" w:color="auto"/>
              <w:left w:val="nil"/>
              <w:bottom w:val="single" w:sz="6" w:space="0" w:color="auto"/>
              <w:right w:val="nil"/>
            </w:tcBorders>
            <w:vAlign w:val="center"/>
          </w:tcPr>
          <w:p w14:paraId="23E409C4"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0.0376677</w:t>
            </w:r>
          </w:p>
        </w:tc>
      </w:tr>
      <w:tr w:rsidR="00CA6B38" w:rsidRPr="00CA6B38" w14:paraId="7C759DAF" w14:textId="77777777" w:rsidTr="00E37438">
        <w:tc>
          <w:tcPr>
            <w:tcW w:w="7013" w:type="dxa"/>
            <w:tcBorders>
              <w:top w:val="single" w:sz="6" w:space="0" w:color="auto"/>
              <w:left w:val="nil"/>
              <w:bottom w:val="single" w:sz="6" w:space="0" w:color="auto"/>
              <w:right w:val="nil"/>
            </w:tcBorders>
          </w:tcPr>
          <w:p w14:paraId="791BD0C0" w14:textId="77777777" w:rsidR="00CA6B38" w:rsidRPr="00CA6B38" w:rsidRDefault="00CA6B38" w:rsidP="00E37438">
            <w:pPr>
              <w:autoSpaceDE w:val="0"/>
              <w:autoSpaceDN w:val="0"/>
              <w:adjustRightInd w:val="0"/>
              <w:rPr>
                <w:sz w:val="22"/>
                <w:lang w:val="es-ES_tradnl"/>
              </w:rPr>
            </w:pPr>
            <w:r w:rsidRPr="00CA6B38">
              <w:rPr>
                <w:sz w:val="22"/>
                <w:lang w:val="es-ES_tradnl"/>
              </w:rPr>
              <w:t>Efecto de los términos de intercambio</w:t>
            </w:r>
          </w:p>
        </w:tc>
        <w:tc>
          <w:tcPr>
            <w:tcW w:w="1232" w:type="dxa"/>
            <w:tcBorders>
              <w:top w:val="single" w:sz="6" w:space="0" w:color="auto"/>
              <w:left w:val="nil"/>
              <w:bottom w:val="single" w:sz="6" w:space="0" w:color="auto"/>
              <w:right w:val="nil"/>
            </w:tcBorders>
          </w:tcPr>
          <w:p w14:paraId="3B243FC6"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44AD92C5">
                <v:shape id="_x0000_i1115" type="#_x0000_t75" alt="" style="width:14.7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4DD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24DD2&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ti&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3" o:title="" chromakey="white"/>
                </v:shape>
              </w:pict>
            </w:r>
          </w:p>
        </w:tc>
        <w:tc>
          <w:tcPr>
            <w:tcW w:w="1253" w:type="dxa"/>
            <w:tcBorders>
              <w:top w:val="single" w:sz="6" w:space="0" w:color="auto"/>
              <w:left w:val="nil"/>
              <w:bottom w:val="single" w:sz="6" w:space="0" w:color="auto"/>
              <w:right w:val="nil"/>
            </w:tcBorders>
            <w:vAlign w:val="center"/>
          </w:tcPr>
          <w:p w14:paraId="78AF69AA"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0.0135145</w:t>
            </w:r>
          </w:p>
        </w:tc>
      </w:tr>
      <w:tr w:rsidR="00CA6B38" w:rsidRPr="00CA6B38" w14:paraId="7D40CCB4" w14:textId="77777777" w:rsidTr="00E37438">
        <w:tc>
          <w:tcPr>
            <w:tcW w:w="7013" w:type="dxa"/>
            <w:tcBorders>
              <w:top w:val="single" w:sz="6" w:space="0" w:color="auto"/>
              <w:left w:val="nil"/>
              <w:bottom w:val="single" w:sz="6" w:space="0" w:color="auto"/>
              <w:right w:val="nil"/>
            </w:tcBorders>
          </w:tcPr>
          <w:p w14:paraId="472F3763" w14:textId="77777777" w:rsidR="00CA6B38" w:rsidRPr="00CA6B38" w:rsidRDefault="00CA6B38" w:rsidP="00E37438">
            <w:pPr>
              <w:autoSpaceDE w:val="0"/>
              <w:autoSpaceDN w:val="0"/>
              <w:adjustRightInd w:val="0"/>
              <w:rPr>
                <w:sz w:val="22"/>
                <w:lang w:val="es-ES_tradnl"/>
              </w:rPr>
            </w:pPr>
            <w:r w:rsidRPr="00CA6B38">
              <w:rPr>
                <w:sz w:val="22"/>
                <w:lang w:val="es-ES_tradnl"/>
              </w:rPr>
              <w:t>Efecto del choque fiscal sobre el ciclo económico</w:t>
            </w:r>
          </w:p>
        </w:tc>
        <w:tc>
          <w:tcPr>
            <w:tcW w:w="1232" w:type="dxa"/>
            <w:tcBorders>
              <w:top w:val="single" w:sz="6" w:space="0" w:color="auto"/>
              <w:left w:val="nil"/>
              <w:bottom w:val="single" w:sz="6" w:space="0" w:color="auto"/>
              <w:right w:val="nil"/>
            </w:tcBorders>
          </w:tcPr>
          <w:p w14:paraId="796CB1B2"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418479C6">
                <v:shape id="_x0000_i1114" type="#_x0000_t75" alt="" style="width:12.5pt;height:12.5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20A&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1520A&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Î_&lt;/m:t&gt;&lt;/m:r&gt;&lt;/m:e&gt;&lt;m:sub&gt;&lt;m:r&gt;&lt;w:rPr&gt;&lt;w:rFonts w:ascii=&quot;Cambria Math&quot; w:h-ansi=&quot;Cambria Math&quot; w:cs=&quot;Calibri Light&quot;/&gt;&lt;wx:font wx:val=&quot;Cambria Math&quot;/&gt;&lt;w:i/&gt;&lt;w:lang w:val=&quot;ES-TRAD&quot;/&gt;&lt;/w:rPr&gt;&lt;m:t&gt;f&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4" o:title="" chromakey="white"/>
                </v:shape>
              </w:pict>
            </w:r>
          </w:p>
        </w:tc>
        <w:tc>
          <w:tcPr>
            <w:tcW w:w="1253" w:type="dxa"/>
            <w:tcBorders>
              <w:top w:val="single" w:sz="6" w:space="0" w:color="auto"/>
              <w:left w:val="nil"/>
              <w:bottom w:val="single" w:sz="6" w:space="0" w:color="auto"/>
              <w:right w:val="nil"/>
            </w:tcBorders>
            <w:vAlign w:val="center"/>
          </w:tcPr>
          <w:p w14:paraId="59E9E69C"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0.0779615</w:t>
            </w:r>
          </w:p>
        </w:tc>
      </w:tr>
      <w:tr w:rsidR="00CA6B38" w:rsidRPr="00CA6B38" w14:paraId="49DEDCC2" w14:textId="77777777" w:rsidTr="00E37438">
        <w:tc>
          <w:tcPr>
            <w:tcW w:w="9498" w:type="dxa"/>
            <w:gridSpan w:val="3"/>
            <w:tcBorders>
              <w:top w:val="single" w:sz="6" w:space="0" w:color="auto"/>
              <w:left w:val="nil"/>
              <w:bottom w:val="single" w:sz="6" w:space="0" w:color="auto"/>
              <w:right w:val="nil"/>
            </w:tcBorders>
          </w:tcPr>
          <w:p w14:paraId="39FA1405" w14:textId="77777777" w:rsidR="00CA6B38" w:rsidRPr="00CA6B38" w:rsidRDefault="00CA6B38" w:rsidP="00E37438">
            <w:pPr>
              <w:autoSpaceDE w:val="0"/>
              <w:autoSpaceDN w:val="0"/>
              <w:adjustRightInd w:val="0"/>
              <w:rPr>
                <w:sz w:val="22"/>
                <w:lang w:val="es-ES_tradnl"/>
              </w:rPr>
            </w:pPr>
            <w:r w:rsidRPr="00CA6B38">
              <w:rPr>
                <w:sz w:val="22"/>
                <w:lang w:val="es-ES_tradnl"/>
              </w:rPr>
              <w:t xml:space="preserve">Curva de Phillips </w:t>
            </w:r>
            <w:proofErr w:type="spellStart"/>
            <w:r w:rsidRPr="00CA6B38">
              <w:rPr>
                <w:sz w:val="22"/>
                <w:lang w:val="es-ES_tradnl"/>
              </w:rPr>
              <w:t>neokeynesiana</w:t>
            </w:r>
            <w:proofErr w:type="spellEnd"/>
          </w:p>
        </w:tc>
      </w:tr>
      <w:tr w:rsidR="00CA6B38" w:rsidRPr="00CA6B38" w14:paraId="13EBC46E" w14:textId="77777777" w:rsidTr="00E37438">
        <w:tc>
          <w:tcPr>
            <w:tcW w:w="7013" w:type="dxa"/>
            <w:tcBorders>
              <w:top w:val="single" w:sz="6" w:space="0" w:color="auto"/>
              <w:left w:val="nil"/>
              <w:bottom w:val="single" w:sz="6" w:space="0" w:color="auto"/>
              <w:right w:val="nil"/>
            </w:tcBorders>
          </w:tcPr>
          <w:p w14:paraId="05C7C942" w14:textId="77777777" w:rsidR="00CA6B38" w:rsidRPr="00CA6B38" w:rsidRDefault="00CA6B38" w:rsidP="00E37438">
            <w:pPr>
              <w:autoSpaceDE w:val="0"/>
              <w:autoSpaceDN w:val="0"/>
              <w:adjustRightInd w:val="0"/>
              <w:rPr>
                <w:sz w:val="22"/>
                <w:lang w:val="es-ES_tradnl"/>
              </w:rPr>
            </w:pPr>
            <w:r w:rsidRPr="00CA6B38">
              <w:rPr>
                <w:i/>
                <w:iCs/>
                <w:sz w:val="22"/>
                <w:lang w:val="es-ES_tradnl"/>
              </w:rPr>
              <w:t>Forward-</w:t>
            </w:r>
            <w:proofErr w:type="spellStart"/>
            <w:r w:rsidRPr="00CA6B38">
              <w:rPr>
                <w:i/>
                <w:iCs/>
                <w:sz w:val="22"/>
                <w:lang w:val="es-ES_tradnl"/>
              </w:rPr>
              <w:t>looking</w:t>
            </w:r>
            <w:proofErr w:type="spellEnd"/>
            <w:r w:rsidRPr="00CA6B38">
              <w:rPr>
                <w:sz w:val="22"/>
                <w:lang w:val="es-ES_tradnl"/>
              </w:rPr>
              <w:t xml:space="preserve"> de la inflación</w:t>
            </w:r>
          </w:p>
        </w:tc>
        <w:tc>
          <w:tcPr>
            <w:tcW w:w="1232" w:type="dxa"/>
            <w:tcBorders>
              <w:top w:val="single" w:sz="6" w:space="0" w:color="auto"/>
              <w:left w:val="nil"/>
              <w:bottom w:val="single" w:sz="6" w:space="0" w:color="auto"/>
              <w:right w:val="nil"/>
            </w:tcBorders>
          </w:tcPr>
          <w:p w14:paraId="5C80A717"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4F0045BF">
                <v:shape id="_x0000_i1113" type="#_x0000_t75" alt="" style="width:8.1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60A&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5160A&quot;&gt;&lt;m:oMathPara&gt;&lt;m:oMath&gt;&lt;m:r&gt;&lt;w:rPr&gt;&lt;w:rFonts w:ascii=&quot;Cambria Math&quot; w:h-ansi=&quot;Cambria Math&quot; w:cs=&quot;Calibri Light&quot;/&gt;&lt;wx:font wx:val=&quot;Cambria Math&quot;/&gt;&lt;w:i/&gt;&lt;w:lang w:val=&quot;ES-TRAD&quot;/&gt;&lt;/w:rPr&gt;&lt;m:t&gt;Î_&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5" o:title="" chromakey="white"/>
                </v:shape>
              </w:pict>
            </w:r>
          </w:p>
        </w:tc>
        <w:tc>
          <w:tcPr>
            <w:tcW w:w="1253" w:type="dxa"/>
            <w:tcBorders>
              <w:top w:val="single" w:sz="6" w:space="0" w:color="auto"/>
              <w:left w:val="nil"/>
              <w:bottom w:val="single" w:sz="6" w:space="0" w:color="auto"/>
              <w:right w:val="nil"/>
            </w:tcBorders>
            <w:vAlign w:val="center"/>
          </w:tcPr>
          <w:p w14:paraId="4E970D73"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0.4705102</w:t>
            </w:r>
          </w:p>
        </w:tc>
      </w:tr>
      <w:tr w:rsidR="00CA6B38" w:rsidRPr="00CA6B38" w14:paraId="31472582" w14:textId="77777777" w:rsidTr="00E37438">
        <w:tc>
          <w:tcPr>
            <w:tcW w:w="7013" w:type="dxa"/>
            <w:tcBorders>
              <w:top w:val="single" w:sz="6" w:space="0" w:color="auto"/>
              <w:left w:val="nil"/>
              <w:bottom w:val="single" w:sz="6" w:space="0" w:color="auto"/>
              <w:right w:val="nil"/>
            </w:tcBorders>
          </w:tcPr>
          <w:p w14:paraId="56DB66A8" w14:textId="77777777" w:rsidR="00CA6B38" w:rsidRPr="00CA6B38" w:rsidRDefault="00CA6B38" w:rsidP="00E37438">
            <w:pPr>
              <w:autoSpaceDE w:val="0"/>
              <w:autoSpaceDN w:val="0"/>
              <w:adjustRightInd w:val="0"/>
              <w:rPr>
                <w:sz w:val="22"/>
                <w:lang w:val="es-ES_tradnl"/>
              </w:rPr>
            </w:pPr>
            <w:r w:rsidRPr="00CA6B38">
              <w:rPr>
                <w:sz w:val="22"/>
                <w:lang w:val="es-ES_tradnl"/>
              </w:rPr>
              <w:t>Efecto de la brecha de producto en la inflación</w:t>
            </w:r>
          </w:p>
        </w:tc>
        <w:tc>
          <w:tcPr>
            <w:tcW w:w="1232" w:type="dxa"/>
            <w:tcBorders>
              <w:top w:val="single" w:sz="6" w:space="0" w:color="auto"/>
              <w:left w:val="nil"/>
              <w:bottom w:val="single" w:sz="6" w:space="0" w:color="auto"/>
              <w:right w:val="nil"/>
            </w:tcBorders>
          </w:tcPr>
          <w:p w14:paraId="39FE2BCD"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56C4FEEC">
                <v:shape id="_x0000_i1112" type="#_x0000_t75" alt="" style="width:7.35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964C3&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964C3&quot;&gt;&lt;m:oMathPara&gt;&lt;m:oMath&gt;&lt;m:r&gt;&lt;w:rPr&gt;&lt;w:rFonts w:ascii=&quot;Cambria Math&quot; w:h-ansi=&quot;Cambria Math&quot; w:cs=&quot;Calibri Light&quot;/&gt;&lt;wx:font wx:val=&quot;Cambria Math&quot;/&gt;&lt;w:i/&gt;&lt;w:lang w:val=&quot;ES-TRAD&quot;/&gt;&lt;/w:rPr&gt;&lt;m:t&gt;Îº&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6" o:title="" chromakey="white"/>
                </v:shape>
              </w:pict>
            </w:r>
          </w:p>
        </w:tc>
        <w:tc>
          <w:tcPr>
            <w:tcW w:w="1253" w:type="dxa"/>
            <w:tcBorders>
              <w:top w:val="single" w:sz="6" w:space="0" w:color="auto"/>
              <w:left w:val="nil"/>
              <w:bottom w:val="single" w:sz="6" w:space="0" w:color="auto"/>
              <w:right w:val="nil"/>
            </w:tcBorders>
            <w:vAlign w:val="center"/>
          </w:tcPr>
          <w:p w14:paraId="66E3191C"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0.0414633</w:t>
            </w:r>
          </w:p>
        </w:tc>
      </w:tr>
      <w:tr w:rsidR="00CA6B38" w:rsidRPr="00CA6B38" w14:paraId="7140F149" w14:textId="77777777" w:rsidTr="00E37438">
        <w:tc>
          <w:tcPr>
            <w:tcW w:w="7013" w:type="dxa"/>
            <w:tcBorders>
              <w:top w:val="single" w:sz="6" w:space="0" w:color="auto"/>
              <w:left w:val="nil"/>
              <w:bottom w:val="single" w:sz="6" w:space="0" w:color="auto"/>
              <w:right w:val="nil"/>
            </w:tcBorders>
          </w:tcPr>
          <w:p w14:paraId="1176BA01" w14:textId="77777777" w:rsidR="00CA6B38" w:rsidRPr="00CA6B38" w:rsidRDefault="00CA6B38" w:rsidP="00E37438">
            <w:pPr>
              <w:autoSpaceDE w:val="0"/>
              <w:autoSpaceDN w:val="0"/>
              <w:adjustRightInd w:val="0"/>
              <w:rPr>
                <w:sz w:val="22"/>
                <w:lang w:val="es-ES_tradnl"/>
              </w:rPr>
            </w:pPr>
            <w:r w:rsidRPr="00CA6B38">
              <w:rPr>
                <w:i/>
                <w:iCs/>
                <w:sz w:val="22"/>
                <w:lang w:val="es-ES_tradnl"/>
              </w:rPr>
              <w:lastRenderedPageBreak/>
              <w:t>Pass-</w:t>
            </w:r>
            <w:proofErr w:type="spellStart"/>
            <w:r w:rsidRPr="00CA6B38">
              <w:rPr>
                <w:i/>
                <w:iCs/>
                <w:sz w:val="22"/>
                <w:lang w:val="es-ES_tradnl"/>
              </w:rPr>
              <w:t>through</w:t>
            </w:r>
            <w:proofErr w:type="spellEnd"/>
            <w:r w:rsidRPr="00CA6B38">
              <w:rPr>
                <w:sz w:val="22"/>
                <w:lang w:val="es-ES_tradnl"/>
              </w:rPr>
              <w:t xml:space="preserve"> de la tasa de cambio a la inflación</w:t>
            </w:r>
          </w:p>
        </w:tc>
        <w:tc>
          <w:tcPr>
            <w:tcW w:w="1232" w:type="dxa"/>
            <w:tcBorders>
              <w:top w:val="single" w:sz="6" w:space="0" w:color="auto"/>
              <w:left w:val="nil"/>
              <w:bottom w:val="single" w:sz="6" w:space="0" w:color="auto"/>
              <w:right w:val="nil"/>
            </w:tcBorders>
          </w:tcPr>
          <w:p w14:paraId="12CA80AC"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36E557DC">
                <v:shape id="_x0000_i1111" type="#_x0000_t75" alt="" style="width:7.35pt;height:13.2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6B5&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E46B5&quot;&gt;&lt;m:oMathPara&gt;&lt;m:oMath&gt;&lt;m:r&gt;&lt;w:rPr&gt;&lt;w:rFonts w:ascii=&quot;Cambria Math&quot; w:h-ansi=&quot;Cambria Math&quot; w:cs=&quot;Calibri Light&quot;/&gt;&lt;wx:font wx:val=&quot;Cambria Math&quot;/&gt;&lt;w:i/&gt;&lt;w:lang w:val=&quot;ES-TRAD&quot;/&gt;&lt;/w:rPr&gt;&lt;m:t&gt;ÏÅ&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7" o:title="" chromakey="white"/>
                </v:shape>
              </w:pict>
            </w:r>
          </w:p>
        </w:tc>
        <w:tc>
          <w:tcPr>
            <w:tcW w:w="1253" w:type="dxa"/>
            <w:tcBorders>
              <w:top w:val="single" w:sz="6" w:space="0" w:color="auto"/>
              <w:left w:val="nil"/>
              <w:bottom w:val="single" w:sz="6" w:space="0" w:color="auto"/>
              <w:right w:val="nil"/>
            </w:tcBorders>
            <w:vAlign w:val="center"/>
          </w:tcPr>
          <w:p w14:paraId="7DB704D2"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0.0032746</w:t>
            </w:r>
          </w:p>
        </w:tc>
      </w:tr>
      <w:tr w:rsidR="00CA6B38" w:rsidRPr="00CA6B38" w14:paraId="2A069AC1" w14:textId="77777777" w:rsidTr="00E37438">
        <w:tc>
          <w:tcPr>
            <w:tcW w:w="9498" w:type="dxa"/>
            <w:gridSpan w:val="3"/>
            <w:tcBorders>
              <w:top w:val="single" w:sz="6" w:space="0" w:color="auto"/>
              <w:left w:val="nil"/>
              <w:bottom w:val="single" w:sz="6" w:space="0" w:color="auto"/>
              <w:right w:val="nil"/>
            </w:tcBorders>
          </w:tcPr>
          <w:p w14:paraId="6375673E" w14:textId="77777777" w:rsidR="00CA6B38" w:rsidRPr="00CA6B38" w:rsidRDefault="00CA6B38" w:rsidP="00E37438">
            <w:pPr>
              <w:autoSpaceDE w:val="0"/>
              <w:autoSpaceDN w:val="0"/>
              <w:adjustRightInd w:val="0"/>
              <w:rPr>
                <w:sz w:val="22"/>
                <w:lang w:val="es-ES_tradnl"/>
              </w:rPr>
            </w:pPr>
            <w:r w:rsidRPr="00CA6B38">
              <w:rPr>
                <w:sz w:val="22"/>
                <w:lang w:val="es-ES_tradnl"/>
              </w:rPr>
              <w:t>Depreciación nominal</w:t>
            </w:r>
          </w:p>
        </w:tc>
      </w:tr>
      <w:tr w:rsidR="00CA6B38" w:rsidRPr="00CA6B38" w14:paraId="54FDA4B6" w14:textId="77777777" w:rsidTr="00E37438">
        <w:tc>
          <w:tcPr>
            <w:tcW w:w="7013" w:type="dxa"/>
            <w:tcBorders>
              <w:top w:val="single" w:sz="6" w:space="0" w:color="auto"/>
              <w:left w:val="nil"/>
              <w:bottom w:val="single" w:sz="6" w:space="0" w:color="auto"/>
              <w:right w:val="nil"/>
            </w:tcBorders>
          </w:tcPr>
          <w:p w14:paraId="5A6BA0CC" w14:textId="77777777" w:rsidR="00CA6B38" w:rsidRPr="00CA6B38" w:rsidRDefault="00CA6B38" w:rsidP="00E37438">
            <w:pPr>
              <w:autoSpaceDE w:val="0"/>
              <w:autoSpaceDN w:val="0"/>
              <w:adjustRightInd w:val="0"/>
              <w:rPr>
                <w:sz w:val="22"/>
                <w:lang w:val="es-ES_tradnl"/>
              </w:rPr>
            </w:pPr>
            <w:r w:rsidRPr="00CA6B38">
              <w:rPr>
                <w:sz w:val="22"/>
                <w:lang w:val="es-ES_tradnl"/>
              </w:rPr>
              <w:t>Constante de la tasa de depreciación</w:t>
            </w:r>
          </w:p>
        </w:tc>
        <w:tc>
          <w:tcPr>
            <w:tcW w:w="1232" w:type="dxa"/>
            <w:tcBorders>
              <w:top w:val="single" w:sz="6" w:space="0" w:color="auto"/>
              <w:left w:val="nil"/>
              <w:bottom w:val="single" w:sz="6" w:space="0" w:color="auto"/>
              <w:right w:val="nil"/>
            </w:tcBorders>
          </w:tcPr>
          <w:p w14:paraId="6E04A546"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1944477E">
                <v:shape id="_x0000_i1110" type="#_x0000_t75" alt="" style="width:16.1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0654&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A0654&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0&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8" o:title="" chromakey="white"/>
                </v:shape>
              </w:pict>
            </w:r>
          </w:p>
        </w:tc>
        <w:tc>
          <w:tcPr>
            <w:tcW w:w="1253" w:type="dxa"/>
            <w:tcBorders>
              <w:top w:val="single" w:sz="6" w:space="0" w:color="auto"/>
              <w:left w:val="nil"/>
              <w:bottom w:val="single" w:sz="6" w:space="0" w:color="auto"/>
              <w:right w:val="nil"/>
            </w:tcBorders>
            <w:vAlign w:val="center"/>
          </w:tcPr>
          <w:p w14:paraId="43454F3D"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0.0236788</w:t>
            </w:r>
          </w:p>
        </w:tc>
      </w:tr>
      <w:tr w:rsidR="00CA6B38" w:rsidRPr="00CA6B38" w14:paraId="769ED72E" w14:textId="77777777" w:rsidTr="00E37438">
        <w:tc>
          <w:tcPr>
            <w:tcW w:w="7013" w:type="dxa"/>
            <w:tcBorders>
              <w:top w:val="single" w:sz="6" w:space="0" w:color="auto"/>
              <w:left w:val="nil"/>
              <w:bottom w:val="single" w:sz="6" w:space="0" w:color="auto"/>
              <w:right w:val="nil"/>
            </w:tcBorders>
          </w:tcPr>
          <w:p w14:paraId="21A4B3E2" w14:textId="77777777" w:rsidR="00CA6B38" w:rsidRPr="00CA6B38" w:rsidRDefault="00CA6B38" w:rsidP="00E37438">
            <w:pPr>
              <w:autoSpaceDE w:val="0"/>
              <w:autoSpaceDN w:val="0"/>
              <w:adjustRightInd w:val="0"/>
              <w:rPr>
                <w:sz w:val="22"/>
                <w:lang w:val="es-ES_tradnl"/>
              </w:rPr>
            </w:pPr>
            <w:r w:rsidRPr="00CA6B38">
              <w:rPr>
                <w:sz w:val="22"/>
                <w:lang w:val="es-ES_tradnl"/>
              </w:rPr>
              <w:t>Respuesta de la depreciación al diferencial de tasas de interés</w:t>
            </w:r>
          </w:p>
        </w:tc>
        <w:tc>
          <w:tcPr>
            <w:tcW w:w="1232" w:type="dxa"/>
            <w:tcBorders>
              <w:top w:val="single" w:sz="6" w:space="0" w:color="auto"/>
              <w:left w:val="nil"/>
              <w:bottom w:val="single" w:sz="6" w:space="0" w:color="auto"/>
              <w:right w:val="nil"/>
            </w:tcBorders>
          </w:tcPr>
          <w:p w14:paraId="4695AFCE"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5FE4CFB4">
                <v:shape id="_x0000_i1109" type="#_x0000_t75" alt="" style="width:16.1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D73C4&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D73C4&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1&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69" o:title="" chromakey="white"/>
                </v:shape>
              </w:pict>
            </w:r>
          </w:p>
        </w:tc>
        <w:tc>
          <w:tcPr>
            <w:tcW w:w="1253" w:type="dxa"/>
            <w:tcBorders>
              <w:top w:val="single" w:sz="6" w:space="0" w:color="auto"/>
              <w:left w:val="nil"/>
              <w:bottom w:val="single" w:sz="6" w:space="0" w:color="auto"/>
              <w:right w:val="nil"/>
            </w:tcBorders>
            <w:vAlign w:val="center"/>
          </w:tcPr>
          <w:p w14:paraId="77864F58"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0.7246649</w:t>
            </w:r>
          </w:p>
        </w:tc>
      </w:tr>
      <w:tr w:rsidR="00CA6B38" w:rsidRPr="00CA6B38" w14:paraId="4DFE98AC" w14:textId="77777777" w:rsidTr="00E37438">
        <w:tc>
          <w:tcPr>
            <w:tcW w:w="7013" w:type="dxa"/>
            <w:tcBorders>
              <w:top w:val="single" w:sz="6" w:space="0" w:color="auto"/>
              <w:left w:val="nil"/>
              <w:bottom w:val="single" w:sz="6" w:space="0" w:color="auto"/>
              <w:right w:val="nil"/>
            </w:tcBorders>
          </w:tcPr>
          <w:p w14:paraId="46B1F56C" w14:textId="77777777" w:rsidR="00CA6B38" w:rsidRPr="00CA6B38" w:rsidRDefault="00CA6B38" w:rsidP="00E37438">
            <w:pPr>
              <w:autoSpaceDE w:val="0"/>
              <w:autoSpaceDN w:val="0"/>
              <w:adjustRightInd w:val="0"/>
              <w:rPr>
                <w:sz w:val="22"/>
                <w:lang w:val="es-ES_tradnl"/>
              </w:rPr>
            </w:pPr>
            <w:r w:rsidRPr="00CA6B38">
              <w:rPr>
                <w:sz w:val="22"/>
                <w:lang w:val="es-ES_tradnl"/>
              </w:rPr>
              <w:t>Incidencia del ciclo de términos de intercambio sobre la tasa de cambio</w:t>
            </w:r>
          </w:p>
        </w:tc>
        <w:tc>
          <w:tcPr>
            <w:tcW w:w="1232" w:type="dxa"/>
            <w:tcBorders>
              <w:top w:val="single" w:sz="6" w:space="0" w:color="auto"/>
              <w:left w:val="nil"/>
              <w:bottom w:val="single" w:sz="6" w:space="0" w:color="auto"/>
              <w:right w:val="nil"/>
            </w:tcBorders>
            <w:vAlign w:val="center"/>
          </w:tcPr>
          <w:p w14:paraId="342117DC"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0A981444">
                <v:shape id="_x0000_i1108" type="#_x0000_t75" alt="" style="width:16.1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494D&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A494D&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2&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0" o:title="" chromakey="white"/>
                </v:shape>
              </w:pict>
            </w:r>
          </w:p>
        </w:tc>
        <w:tc>
          <w:tcPr>
            <w:tcW w:w="1253" w:type="dxa"/>
            <w:tcBorders>
              <w:top w:val="single" w:sz="6" w:space="0" w:color="auto"/>
              <w:left w:val="nil"/>
              <w:bottom w:val="single" w:sz="6" w:space="0" w:color="auto"/>
              <w:right w:val="nil"/>
            </w:tcBorders>
            <w:vAlign w:val="center"/>
          </w:tcPr>
          <w:p w14:paraId="749D34C6"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-0.3315053</w:t>
            </w:r>
          </w:p>
        </w:tc>
      </w:tr>
      <w:tr w:rsidR="00CA6B38" w:rsidRPr="00CA6B38" w14:paraId="7551E0B9" w14:textId="77777777" w:rsidTr="00E37438">
        <w:tc>
          <w:tcPr>
            <w:tcW w:w="7013" w:type="dxa"/>
            <w:tcBorders>
              <w:top w:val="single" w:sz="6" w:space="0" w:color="auto"/>
              <w:left w:val="nil"/>
              <w:bottom w:val="single" w:sz="6" w:space="0" w:color="auto"/>
              <w:right w:val="nil"/>
            </w:tcBorders>
          </w:tcPr>
          <w:p w14:paraId="3B33EB5B" w14:textId="77777777" w:rsidR="00CA6B38" w:rsidRPr="00CA6B38" w:rsidRDefault="00CA6B38" w:rsidP="00E37438">
            <w:pPr>
              <w:autoSpaceDE w:val="0"/>
              <w:autoSpaceDN w:val="0"/>
              <w:adjustRightInd w:val="0"/>
              <w:rPr>
                <w:sz w:val="22"/>
                <w:lang w:val="es-ES_tradnl"/>
              </w:rPr>
            </w:pPr>
            <w:r w:rsidRPr="00CA6B38">
              <w:rPr>
                <w:sz w:val="22"/>
                <w:lang w:val="es-ES_tradnl"/>
              </w:rPr>
              <w:t>Influencia de la expectativa de depreciación</w:t>
            </w:r>
          </w:p>
        </w:tc>
        <w:tc>
          <w:tcPr>
            <w:tcW w:w="1232" w:type="dxa"/>
            <w:tcBorders>
              <w:top w:val="single" w:sz="6" w:space="0" w:color="auto"/>
              <w:left w:val="nil"/>
              <w:bottom w:val="single" w:sz="6" w:space="0" w:color="auto"/>
              <w:right w:val="nil"/>
            </w:tcBorders>
          </w:tcPr>
          <w:p w14:paraId="51D8D8FA" w14:textId="77777777" w:rsidR="00CA6B38" w:rsidRPr="00CA6B38" w:rsidRDefault="009B31E4" w:rsidP="00E37438">
            <w:pPr>
              <w:autoSpaceDE w:val="0"/>
              <w:autoSpaceDN w:val="0"/>
              <w:adjustRightInd w:val="0"/>
              <w:jc w:val="center"/>
              <w:rPr>
                <w:sz w:val="22"/>
                <w:lang w:val="es-ES_tradnl"/>
              </w:rPr>
            </w:pPr>
            <w:r w:rsidRPr="009B31E4">
              <w:rPr>
                <w:noProof/>
                <w:sz w:val="22"/>
              </w:rPr>
              <w:pict w14:anchorId="5A405736">
                <v:shape id="_x0000_i1107" type="#_x0000_t75" alt="" style="width:16.1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1A8C&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21A8C&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3&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1" o:title="" chromakey="white"/>
                </v:shape>
              </w:pict>
            </w:r>
          </w:p>
        </w:tc>
        <w:tc>
          <w:tcPr>
            <w:tcW w:w="1253" w:type="dxa"/>
            <w:tcBorders>
              <w:top w:val="single" w:sz="6" w:space="0" w:color="auto"/>
              <w:left w:val="nil"/>
              <w:bottom w:val="single" w:sz="6" w:space="0" w:color="auto"/>
              <w:right w:val="nil"/>
            </w:tcBorders>
            <w:vAlign w:val="center"/>
          </w:tcPr>
          <w:p w14:paraId="0708BD46" w14:textId="77777777" w:rsidR="00CA6B38" w:rsidRPr="00CA6B38" w:rsidRDefault="00CA6B38" w:rsidP="00E37438">
            <w:pPr>
              <w:autoSpaceDE w:val="0"/>
              <w:autoSpaceDN w:val="0"/>
              <w:adjustRightInd w:val="0"/>
              <w:jc w:val="center"/>
              <w:rPr>
                <w:sz w:val="22"/>
                <w:lang w:val="es-ES_tradnl"/>
              </w:rPr>
            </w:pPr>
            <w:r w:rsidRPr="00CA6B38">
              <w:rPr>
                <w:sz w:val="22"/>
                <w:lang w:val="es-ES_tradnl"/>
              </w:rPr>
              <w:t>0.8132532</w:t>
            </w:r>
          </w:p>
        </w:tc>
      </w:tr>
    </w:tbl>
    <w:p w14:paraId="6126FF2F" w14:textId="77777777" w:rsidR="00CA6B38" w:rsidRPr="00CA6B38" w:rsidRDefault="00CA6B38" w:rsidP="00CA6B38">
      <w:pPr>
        <w:rPr>
          <w:sz w:val="22"/>
          <w:lang w:val="es-ES_tradnl"/>
        </w:rPr>
      </w:pPr>
      <w:r w:rsidRPr="00CA6B38">
        <w:rPr>
          <w:sz w:val="22"/>
          <w:lang w:val="es-ES_tradnl"/>
        </w:rPr>
        <w:t>Fuente: Elaboración propia.</w:t>
      </w:r>
    </w:p>
    <w:p w14:paraId="30189028" w14:textId="77777777" w:rsidR="00CA6B38" w:rsidRDefault="00CA6B38" w:rsidP="00CA6B38">
      <w:pPr>
        <w:autoSpaceDE w:val="0"/>
        <w:autoSpaceDN w:val="0"/>
        <w:adjustRightInd w:val="0"/>
        <w:rPr>
          <w:szCs w:val="24"/>
          <w:lang w:val="es-ES_tradnl"/>
        </w:rPr>
      </w:pPr>
    </w:p>
    <w:p w14:paraId="15F22A38" w14:textId="5BF97159" w:rsidR="00ED5999" w:rsidRPr="00ED5999" w:rsidRDefault="00ED5999" w:rsidP="00ED5999">
      <w:pPr>
        <w:spacing w:line="355" w:lineRule="auto"/>
        <w:rPr>
          <w:rFonts w:ascii="Calibri" w:hAnsi="Calibri" w:cs="Calibri"/>
          <w:sz w:val="22"/>
          <w:lang w:val="es-ES_tradnl"/>
        </w:rPr>
      </w:pPr>
      <w:r w:rsidRPr="00ED5999">
        <w:rPr>
          <w:rFonts w:ascii="Calibri" w:hAnsi="Calibri" w:cs="Calibri"/>
          <w:i/>
          <w:iCs/>
          <w:sz w:val="22"/>
          <w:lang w:val="es-ES_tradnl"/>
        </w:rPr>
        <w:t xml:space="preserve">Figura 1. </w:t>
      </w:r>
      <w:r w:rsidRPr="00ED5999">
        <w:rPr>
          <w:rFonts w:ascii="Calibri" w:hAnsi="Calibri" w:cs="Calibri"/>
          <w:i/>
          <w:iCs/>
          <w:sz w:val="22"/>
          <w:lang w:val="es-ES_tradnl"/>
        </w:rPr>
        <w:t>Transmisión del choque de demanda sobre las variables.</w:t>
      </w:r>
    </w:p>
    <w:p w14:paraId="064A7506" w14:textId="77777777" w:rsidR="00ED5999" w:rsidRPr="00ED5999" w:rsidRDefault="00ED5999" w:rsidP="00ED5999">
      <w:pPr>
        <w:spacing w:line="355" w:lineRule="auto"/>
        <w:jc w:val="center"/>
        <w:rPr>
          <w:rFonts w:ascii="Calibri" w:hAnsi="Calibri" w:cs="Calibri"/>
          <w:sz w:val="22"/>
          <w:lang w:val="es-ES_tradnl"/>
        </w:rPr>
      </w:pPr>
      <w:r w:rsidRPr="00ED5999">
        <w:rPr>
          <w:rFonts w:ascii="Calibri" w:hAnsi="Calibri" w:cs="Calibri"/>
          <w:noProof/>
          <w:sz w:val="22"/>
          <w:lang w:eastAsia="es-MX"/>
        </w:rPr>
        <w:drawing>
          <wp:inline distT="0" distB="0" distL="0" distR="0" wp14:anchorId="260B4312" wp14:editId="1918C64F">
            <wp:extent cx="4729480" cy="3562985"/>
            <wp:effectExtent l="0" t="0" r="0" b="0"/>
            <wp:docPr id="434"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2"/>
                    <pic:cNvPicPr>
                      <a:picLocks/>
                    </pic:cNvPicPr>
                  </pic:nvPicPr>
                  <pic:blipFill>
                    <a:blip r:embed="rId72">
                      <a:extLst>
                        <a:ext uri="{28A0092B-C50C-407E-A947-70E740481C1C}">
                          <a14:useLocalDpi xmlns:a14="http://schemas.microsoft.com/office/drawing/2010/main" val="0"/>
                        </a:ext>
                      </a:extLst>
                    </a:blip>
                    <a:srcRect l="6848" t="4588" r="7747" b="6517"/>
                    <a:stretch>
                      <a:fillRect/>
                    </a:stretch>
                  </pic:blipFill>
                  <pic:spPr bwMode="auto">
                    <a:xfrm>
                      <a:off x="0" y="0"/>
                      <a:ext cx="4729480" cy="3562985"/>
                    </a:xfrm>
                    <a:prstGeom prst="rect">
                      <a:avLst/>
                    </a:prstGeom>
                    <a:noFill/>
                    <a:ln>
                      <a:noFill/>
                    </a:ln>
                  </pic:spPr>
                </pic:pic>
              </a:graphicData>
            </a:graphic>
          </wp:inline>
        </w:drawing>
      </w:r>
    </w:p>
    <w:p w14:paraId="71781003" w14:textId="77777777" w:rsidR="00ED5999" w:rsidRPr="00ED5999" w:rsidRDefault="00ED5999" w:rsidP="00ED5999">
      <w:pPr>
        <w:spacing w:line="355" w:lineRule="auto"/>
        <w:rPr>
          <w:rFonts w:ascii="Calibri" w:hAnsi="Calibri" w:cs="Calibri"/>
          <w:sz w:val="22"/>
          <w:lang w:val="es-ES_tradnl"/>
        </w:rPr>
      </w:pPr>
      <w:r w:rsidRPr="00ED5999">
        <w:rPr>
          <w:rFonts w:ascii="Calibri" w:hAnsi="Calibri" w:cs="Calibri"/>
          <w:sz w:val="22"/>
          <w:lang w:val="es-ES_tradnl"/>
        </w:rPr>
        <w:t>Fuente: Elaboración propia.</w:t>
      </w:r>
    </w:p>
    <w:p w14:paraId="6D27DE6E" w14:textId="445273D6" w:rsidR="00ED5999" w:rsidRPr="005A0F96" w:rsidRDefault="00ED5999" w:rsidP="00ED5999">
      <w:pPr>
        <w:autoSpaceDE w:val="0"/>
        <w:autoSpaceDN w:val="0"/>
        <w:adjustRightInd w:val="0"/>
        <w:jc w:val="both"/>
        <w:rPr>
          <w:rFonts w:ascii="Calibri" w:hAnsi="Calibri" w:cs="Calibri"/>
          <w:sz w:val="22"/>
          <w:lang w:val="es-ES_tradnl"/>
        </w:rPr>
      </w:pPr>
      <w:r w:rsidRPr="005A0F96">
        <w:rPr>
          <w:rFonts w:ascii="Calibri" w:hAnsi="Calibri" w:cs="Calibri"/>
          <w:sz w:val="22"/>
          <w:lang w:val="es-ES_tradnl"/>
        </w:rPr>
        <w:t xml:space="preserve">La figura </w:t>
      </w:r>
      <w:r w:rsidRPr="005A0F96">
        <w:rPr>
          <w:rFonts w:ascii="Calibri" w:hAnsi="Calibri" w:cs="Calibri"/>
          <w:sz w:val="22"/>
          <w:lang w:val="es-ES_tradnl"/>
        </w:rPr>
        <w:t>1</w:t>
      </w:r>
      <w:r w:rsidRPr="005A0F96">
        <w:rPr>
          <w:rFonts w:ascii="Calibri" w:hAnsi="Calibri" w:cs="Calibri"/>
          <w:sz w:val="22"/>
          <w:lang w:val="es-ES_tradnl"/>
        </w:rPr>
        <w:t xml:space="preserve"> muestra el efecto de un shock positivo de demanda agregada sobre la economía colombiana. Inicialmente, la producción aumenta 0,5% sobre su estado estacionario y se mantiene en expansión durante 12 trimestres. Este impulso genera mayores costos marginales y presiona al alza los precios, elevando la inflación básica hasta un máximo cercano al 0,9% en el séptimo trimestre. En respuesta, el Banco de la República sube la tasa de interés nominal hasta 1,5%, siguiendo una política de metas de inflación. Dado el carácter abierto de la economía, también se ajustan los tipos de cambio y la tasa de interés real.</w:t>
      </w:r>
    </w:p>
    <w:p w14:paraId="5088F4E1" w14:textId="77777777" w:rsidR="00746D5F" w:rsidRPr="005A0F96" w:rsidRDefault="00746D5F" w:rsidP="00ED5999">
      <w:pPr>
        <w:autoSpaceDE w:val="0"/>
        <w:autoSpaceDN w:val="0"/>
        <w:adjustRightInd w:val="0"/>
        <w:jc w:val="both"/>
        <w:rPr>
          <w:rFonts w:ascii="Calibri" w:hAnsi="Calibri" w:cs="Calibri"/>
          <w:sz w:val="22"/>
          <w:lang w:val="es-ES_tradnl"/>
        </w:rPr>
      </w:pPr>
    </w:p>
    <w:p w14:paraId="519DA37B" w14:textId="1F1DEE1B" w:rsidR="00746D5F" w:rsidRPr="005A0F96" w:rsidRDefault="00746D5F" w:rsidP="00ED5999">
      <w:pPr>
        <w:autoSpaceDE w:val="0"/>
        <w:autoSpaceDN w:val="0"/>
        <w:adjustRightInd w:val="0"/>
        <w:jc w:val="both"/>
        <w:rPr>
          <w:rFonts w:ascii="Calibri" w:hAnsi="Calibri" w:cs="Calibri"/>
          <w:sz w:val="22"/>
          <w:lang w:val="es-ES_tradnl"/>
        </w:rPr>
      </w:pPr>
      <w:r w:rsidRPr="005A0F96">
        <w:rPr>
          <w:rFonts w:ascii="Calibri" w:hAnsi="Calibri" w:cs="Calibri"/>
          <w:sz w:val="22"/>
          <w:lang w:val="es-ES_tradnl"/>
        </w:rPr>
        <w:t>Impacto de los shocks:</w:t>
      </w:r>
    </w:p>
    <w:p w14:paraId="4B589CBE" w14:textId="39853CC8" w:rsidR="00746D5F" w:rsidRPr="005A0F96" w:rsidRDefault="00746D5F" w:rsidP="00ED5999">
      <w:pPr>
        <w:autoSpaceDE w:val="0"/>
        <w:autoSpaceDN w:val="0"/>
        <w:adjustRightInd w:val="0"/>
        <w:jc w:val="both"/>
        <w:rPr>
          <w:rFonts w:ascii="Calibri" w:hAnsi="Calibri" w:cs="Calibri"/>
          <w:sz w:val="22"/>
          <w:lang w:val="es-ES_tradnl"/>
        </w:rPr>
      </w:pPr>
      <w:r w:rsidRPr="005A0F96">
        <w:rPr>
          <w:rFonts w:ascii="Calibri" w:hAnsi="Calibri" w:cs="Calibri"/>
          <w:sz w:val="22"/>
          <w:lang w:val="es-ES_tradnl"/>
        </w:rPr>
        <w:t xml:space="preserve">Este </w:t>
      </w:r>
      <w:r w:rsidRPr="005A0F96">
        <w:rPr>
          <w:rFonts w:ascii="Calibri" w:hAnsi="Calibri" w:cs="Calibri"/>
          <w:sz w:val="22"/>
          <w:lang w:val="es-ES_tradnl"/>
        </w:rPr>
        <w:t>estudia</w:t>
      </w:r>
      <w:r w:rsidRPr="005A0F96">
        <w:rPr>
          <w:rFonts w:ascii="Calibri" w:hAnsi="Calibri" w:cs="Calibri"/>
          <w:sz w:val="22"/>
          <w:lang w:val="es-ES_tradnl"/>
        </w:rPr>
        <w:t xml:space="preserve"> se enfoca en analizar las respuestas iniciales de las variables endógenas ante choques externos representados por un vector de estados exógenos. Estas respuestas se observan mediante funciones de impulso-respuesta (IRF), que permiten evaluar cómo se comporta el modelo calibrado </w:t>
      </w:r>
      <w:r w:rsidRPr="005A0F96">
        <w:rPr>
          <w:rFonts w:ascii="Calibri" w:hAnsi="Calibri" w:cs="Calibri"/>
          <w:sz w:val="22"/>
          <w:lang w:val="es-ES_tradnl"/>
        </w:rPr>
        <w:lastRenderedPageBreak/>
        <w:t>frente a distintos escenarios de estrés. Las IRF ayudan a caracterizar la dinámica de la economía colombiana frente a perturbaciones estructurales, revelando el impacto y persistencia de los choques sobre los principales agregados macroeconómicos del modelo.</w:t>
      </w:r>
      <w:r w:rsidRPr="005A0F96">
        <w:rPr>
          <w:rFonts w:ascii="Calibri" w:hAnsi="Calibri" w:cs="Calibri"/>
          <w:sz w:val="22"/>
          <w:lang w:val="es-ES_tradnl"/>
        </w:rPr>
        <w:t xml:space="preserve"> Se resumen los efectos así: </w:t>
      </w:r>
    </w:p>
    <w:p w14:paraId="1D04DF5E" w14:textId="77777777" w:rsidR="00746D5F" w:rsidRPr="005A0F96" w:rsidRDefault="00746D5F" w:rsidP="00ED5999">
      <w:pPr>
        <w:autoSpaceDE w:val="0"/>
        <w:autoSpaceDN w:val="0"/>
        <w:adjustRightInd w:val="0"/>
        <w:jc w:val="both"/>
        <w:rPr>
          <w:rFonts w:ascii="Calibri" w:hAnsi="Calibri" w:cs="Calibri"/>
          <w:sz w:val="22"/>
          <w:lang w:val="es-ES_tradnl"/>
        </w:rPr>
      </w:pPr>
    </w:p>
    <w:p w14:paraId="0F76875A" w14:textId="08F8081D" w:rsidR="00746D5F" w:rsidRPr="00746D5F" w:rsidRDefault="00746D5F" w:rsidP="00746D5F">
      <w:pPr>
        <w:rPr>
          <w:rFonts w:ascii="Calibri" w:hAnsi="Calibri" w:cs="Calibri"/>
          <w:i/>
          <w:iCs/>
          <w:sz w:val="22"/>
          <w:lang w:val="es-ES_tradnl"/>
        </w:rPr>
      </w:pPr>
      <w:r>
        <w:rPr>
          <w:rFonts w:ascii="Calibri" w:hAnsi="Calibri" w:cs="Calibri"/>
          <w:i/>
          <w:iCs/>
          <w:sz w:val="22"/>
          <w:lang w:val="es-ES_tradnl"/>
        </w:rPr>
        <w:t xml:space="preserve">Tabla 4. </w:t>
      </w:r>
      <w:r w:rsidRPr="00746D5F">
        <w:rPr>
          <w:rFonts w:ascii="Calibri" w:hAnsi="Calibri" w:cs="Calibri"/>
          <w:i/>
          <w:iCs/>
          <w:sz w:val="22"/>
          <w:lang w:val="es-ES_tradnl"/>
        </w:rPr>
        <w:t>Dirección inicial de las variaciones provocada por los diferentes choques.</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168"/>
        <w:gridCol w:w="602"/>
        <w:gridCol w:w="603"/>
        <w:gridCol w:w="602"/>
        <w:gridCol w:w="603"/>
        <w:gridCol w:w="602"/>
        <w:gridCol w:w="603"/>
        <w:gridCol w:w="602"/>
        <w:gridCol w:w="603"/>
      </w:tblGrid>
      <w:tr w:rsidR="00746D5F" w:rsidRPr="00746D5F" w14:paraId="4A628D96" w14:textId="77777777" w:rsidTr="00E37438">
        <w:tc>
          <w:tcPr>
            <w:tcW w:w="4168" w:type="dxa"/>
            <w:tcBorders>
              <w:top w:val="single" w:sz="6" w:space="0" w:color="auto"/>
              <w:left w:val="nil"/>
              <w:bottom w:val="single" w:sz="6" w:space="0" w:color="auto"/>
              <w:right w:val="nil"/>
            </w:tcBorders>
          </w:tcPr>
          <w:p w14:paraId="51332F68" w14:textId="77777777" w:rsidR="00746D5F" w:rsidRPr="00746D5F" w:rsidRDefault="00746D5F" w:rsidP="00E37438">
            <w:pPr>
              <w:jc w:val="center"/>
              <w:rPr>
                <w:rFonts w:ascii="Calibri" w:hAnsi="Calibri" w:cs="Calibri"/>
                <w:b/>
                <w:bCs/>
                <w:sz w:val="22"/>
                <w:lang w:val="es-ES_tradnl"/>
              </w:rPr>
            </w:pPr>
            <w:r w:rsidRPr="00746D5F">
              <w:rPr>
                <w:rFonts w:ascii="Calibri" w:hAnsi="Calibri" w:cs="Calibri"/>
                <w:b/>
                <w:bCs/>
                <w:sz w:val="22"/>
                <w:lang w:val="es-ES_tradnl"/>
              </w:rPr>
              <w:t xml:space="preserve">Choques estructurales </w:t>
            </w:r>
            <w:r w:rsidRPr="00746D5F">
              <w:rPr>
                <w:rFonts w:ascii="Calibri" w:hAnsi="Calibri" w:cs="Calibri"/>
                <w:b/>
                <w:bCs/>
                <w:sz w:val="22"/>
                <w:lang w:val="es-ES_tradnl"/>
              </w:rPr>
              <w:fldChar w:fldCharType="begin"/>
            </w:r>
            <w:r w:rsidRPr="00746D5F">
              <w:rPr>
                <w:rFonts w:ascii="Calibri" w:hAnsi="Calibri" w:cs="Calibri"/>
                <w:b/>
                <w:bCs/>
                <w:sz w:val="22"/>
                <w:lang w:val="es-ES_tradnl"/>
              </w:rPr>
              <w:instrText xml:space="preserve"> QUOTE </w:instrText>
            </w:r>
            <w:r w:rsidR="009B31E4" w:rsidRPr="009B31E4">
              <w:rPr>
                <w:rFonts w:ascii="Calibri" w:hAnsi="Calibri" w:cs="Calibri"/>
                <w:noProof/>
                <w:sz w:val="22"/>
              </w:rPr>
              <w:pict w14:anchorId="2C429667">
                <v:shape id="_x0000_i1106" type="#_x0000_t75" alt="" style="width:20.5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4E50&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D4E50&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3" o:title="" chromakey="white"/>
                </v:shape>
              </w:pict>
            </w:r>
            <w:r w:rsidRPr="00746D5F">
              <w:rPr>
                <w:rFonts w:ascii="Calibri" w:hAnsi="Calibri" w:cs="Calibri"/>
                <w:b/>
                <w:bCs/>
                <w:sz w:val="22"/>
                <w:lang w:val="es-ES_tradnl"/>
              </w:rPr>
              <w:instrText xml:space="preserve"> </w:instrText>
            </w:r>
            <w:r w:rsidRPr="00746D5F">
              <w:rPr>
                <w:rFonts w:ascii="Calibri" w:hAnsi="Calibri" w:cs="Calibri"/>
                <w:b/>
                <w:bCs/>
                <w:sz w:val="22"/>
                <w:lang w:val="es-ES_tradnl"/>
              </w:rPr>
              <w:fldChar w:fldCharType="separate"/>
            </w:r>
            <w:r w:rsidR="009B31E4" w:rsidRPr="009B31E4">
              <w:rPr>
                <w:rFonts w:ascii="Calibri" w:hAnsi="Calibri" w:cs="Calibri"/>
                <w:noProof/>
                <w:sz w:val="22"/>
              </w:rPr>
              <w:pict w14:anchorId="79BA8656">
                <v:shape id="_x0000_i1105" type="#_x0000_t75" alt="" style="width:20.5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4E50&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D4E50&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Z&lt;/m:t&gt;&lt;/m:r&gt;&lt;/m:e&gt;&lt;m:sub&gt;&lt;m:r&gt;&lt;w:rPr&gt;&lt;w:rFonts w:ascii=&quot;Cambria Math&quot; w:h-ansi=&quot;Cambria Math&quot; w:cs=&quot;Calibri Light&quot;/&gt;&lt;wx:font wx:val=&quot;Cambria Math&quot;/&gt;&lt;w:i/&gt;&lt;w:lang w:val=&quot;ES-TRAD&quot;/&gt;&lt;/w:rPr&gt;&lt;m:t&gt;t&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3" o:title="" chromakey="white"/>
                </v:shape>
              </w:pict>
            </w:r>
            <w:r w:rsidRPr="00746D5F">
              <w:rPr>
                <w:rFonts w:ascii="Calibri" w:hAnsi="Calibri" w:cs="Calibri"/>
                <w:b/>
                <w:bCs/>
                <w:sz w:val="22"/>
                <w:lang w:val="es-ES_tradnl"/>
              </w:rPr>
              <w:fldChar w:fldCharType="end"/>
            </w:r>
          </w:p>
        </w:tc>
        <w:tc>
          <w:tcPr>
            <w:tcW w:w="4820" w:type="dxa"/>
            <w:gridSpan w:val="8"/>
            <w:tcBorders>
              <w:top w:val="single" w:sz="6" w:space="0" w:color="auto"/>
              <w:left w:val="nil"/>
              <w:bottom w:val="single" w:sz="6" w:space="0" w:color="auto"/>
              <w:right w:val="nil"/>
            </w:tcBorders>
          </w:tcPr>
          <w:p w14:paraId="33AE8CF6" w14:textId="77777777" w:rsidR="00746D5F" w:rsidRPr="00746D5F" w:rsidRDefault="00746D5F" w:rsidP="00E37438">
            <w:pPr>
              <w:jc w:val="center"/>
              <w:rPr>
                <w:rFonts w:ascii="Calibri" w:hAnsi="Calibri" w:cs="Calibri"/>
                <w:b/>
                <w:bCs/>
                <w:sz w:val="22"/>
                <w:lang w:val="es-ES_tradnl"/>
              </w:rPr>
            </w:pPr>
            <w:r w:rsidRPr="00746D5F">
              <w:rPr>
                <w:rFonts w:ascii="Calibri" w:hAnsi="Calibri" w:cs="Calibri"/>
                <w:b/>
                <w:bCs/>
                <w:sz w:val="22"/>
                <w:lang w:val="es-ES_tradnl"/>
              </w:rPr>
              <w:t xml:space="preserve">Variables de control </w:t>
            </w:r>
            <w:r w:rsidRPr="00746D5F">
              <w:rPr>
                <w:rFonts w:ascii="Calibri" w:hAnsi="Calibri" w:cs="Calibri"/>
                <w:b/>
                <w:bCs/>
                <w:sz w:val="22"/>
                <w:lang w:val="es-ES_tradnl"/>
              </w:rPr>
              <w:fldChar w:fldCharType="begin"/>
            </w:r>
            <w:r w:rsidRPr="00746D5F">
              <w:rPr>
                <w:rFonts w:ascii="Calibri" w:hAnsi="Calibri" w:cs="Calibri"/>
                <w:b/>
                <w:bCs/>
                <w:sz w:val="22"/>
                <w:lang w:val="es-ES_tradnl"/>
              </w:rPr>
              <w:instrText xml:space="preserve"> QUOTE </w:instrText>
            </w:r>
            <w:r w:rsidR="009B31E4" w:rsidRPr="009B31E4">
              <w:rPr>
                <w:rFonts w:ascii="Calibri" w:hAnsi="Calibri" w:cs="Calibri"/>
                <w:noProof/>
                <w:sz w:val="22"/>
              </w:rPr>
              <w:pict w14:anchorId="0BF4E70C">
                <v:shape id="_x0000_i1104" type="#_x0000_t75" alt="" style="width:23.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4F79&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84F79&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r&gt;&lt;m:rPr&gt;&lt;m:sty m:val=&quot;p&quot;/&gt;&lt;/m:rPr&gt;&lt;w:rPr&gt;&lt;w:rFonts w:ascii=&quot;Cambria Math&quot; w:h-ansi=&quot;Cambria Math&quot; w:cs=&quot;Calibri Light&quot;/&gt;&lt;wx:font wx:val=&quot;Cambria Math&quot;/&gt;&lt;w:lang w:val=&quot;ES-TRAD&quot;/&gt;&lt;/w:rPr&gt;&lt;m:t&gt; &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4" o:title="" chromakey="white"/>
                </v:shape>
              </w:pict>
            </w:r>
            <w:r w:rsidRPr="00746D5F">
              <w:rPr>
                <w:rFonts w:ascii="Calibri" w:hAnsi="Calibri" w:cs="Calibri"/>
                <w:b/>
                <w:bCs/>
                <w:sz w:val="22"/>
                <w:lang w:val="es-ES_tradnl"/>
              </w:rPr>
              <w:instrText xml:space="preserve"> </w:instrText>
            </w:r>
            <w:r w:rsidRPr="00746D5F">
              <w:rPr>
                <w:rFonts w:ascii="Calibri" w:hAnsi="Calibri" w:cs="Calibri"/>
                <w:b/>
                <w:bCs/>
                <w:sz w:val="22"/>
                <w:lang w:val="es-ES_tradnl"/>
              </w:rPr>
              <w:fldChar w:fldCharType="separate"/>
            </w:r>
            <w:r w:rsidR="009B31E4" w:rsidRPr="009B31E4">
              <w:rPr>
                <w:rFonts w:ascii="Calibri" w:hAnsi="Calibri" w:cs="Calibri"/>
                <w:noProof/>
                <w:sz w:val="22"/>
              </w:rPr>
              <w:pict w14:anchorId="2047CF1E">
                <v:shape id="_x0000_i1103" type="#_x0000_t75" alt="" style="width:23.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4F79&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84F79&quot;&gt;&lt;m:oMathPara&gt;&lt;m:oMath&gt;&lt;m:d&gt;&lt;m:dPr&gt;&lt;m:ctrlPr&gt;&lt;w:rPr&gt;&lt;w:rFonts w:ascii=&quot;Cambria Math&quot; w:h-ansi=&quot;Cambria Math&quot; w:cs=&quot;Calibri Light&quot;/&gt;&lt;wx:font wx:val=&quot;Cambria Math&quot;/&gt;&lt;w:i/&gt;&lt;w:lang w:val=&quot;ES-TRAD&quot;/&gt;&lt;/w:rPr&gt;&lt;/m:ctrlPr&gt;&lt;/m:dPr&gt;&lt;m:e&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X&lt;/m:t&gt;&lt;/m:r&gt;&lt;/m:e&gt;&lt;m:sub&gt;&lt;m:r&gt;&lt;w:rPr&gt;&lt;w:rFonts w:ascii=&quot;Cambria Math&quot; w:h-ansi=&quot;Cambria Math&quot; w:cs=&quot;Calibri Light&quot;/&gt;&lt;wx:font wx:val=&quot;Cambria Math&quot;/&gt;&lt;w:i/&gt;&lt;w:lang w:val=&quot;ES-TRAD&quot;/&gt;&lt;/w:rPr&gt;&lt;m:t&gt;t&lt;/m:t&gt;&lt;/m:r&gt;&lt;/m:sub&gt;&lt;/m:sSub&gt;&lt;m:r&gt;&lt;m:rPr&gt;&lt;m:sty m:val=&quot;p&quot;/&gt;&lt;/m:rPr&gt;&lt;w:rPr&gt;&lt;w:rFonts w:ascii=&quot;Cambria Math&quot; w:h-ansi=&quot;Cambria Math&quot; w:cs=&quot;Calibri Light&quot;/&gt;&lt;wx:font wx:val=&quot;Cambria Math&quot;/&gt;&lt;w:lang w:val=&quot;ES-TRAD&quot;/&gt;&lt;/w:rPr&gt;&lt;m:t&gt; &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4" o:title="" chromakey="white"/>
                </v:shape>
              </w:pict>
            </w:r>
            <w:r w:rsidRPr="00746D5F">
              <w:rPr>
                <w:rFonts w:ascii="Calibri" w:hAnsi="Calibri" w:cs="Calibri"/>
                <w:b/>
                <w:bCs/>
                <w:sz w:val="22"/>
                <w:lang w:val="es-ES_tradnl"/>
              </w:rPr>
              <w:fldChar w:fldCharType="end"/>
            </w:r>
          </w:p>
        </w:tc>
      </w:tr>
      <w:tr w:rsidR="00746D5F" w:rsidRPr="00746D5F" w14:paraId="45D84743" w14:textId="77777777" w:rsidTr="00E37438">
        <w:tc>
          <w:tcPr>
            <w:tcW w:w="4168" w:type="dxa"/>
            <w:tcBorders>
              <w:top w:val="single" w:sz="6" w:space="0" w:color="auto"/>
              <w:left w:val="nil"/>
              <w:bottom w:val="single" w:sz="6" w:space="0" w:color="auto"/>
              <w:right w:val="nil"/>
            </w:tcBorders>
          </w:tcPr>
          <w:p w14:paraId="41DE93A0"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w:t>
            </w:r>
          </w:p>
        </w:tc>
        <w:tc>
          <w:tcPr>
            <w:tcW w:w="602" w:type="dxa"/>
            <w:tcBorders>
              <w:top w:val="single" w:sz="6" w:space="0" w:color="auto"/>
              <w:left w:val="nil"/>
              <w:bottom w:val="single" w:sz="6" w:space="0" w:color="auto"/>
              <w:right w:val="nil"/>
            </w:tcBorders>
            <w:vAlign w:val="center"/>
          </w:tcPr>
          <w:p w14:paraId="12D23CB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B3D0292">
                <v:shape id="_x0000_i1102"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3A61&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B3A61&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y&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5" o:title="" chromakey="white"/>
                </v:shape>
              </w:pict>
            </w:r>
          </w:p>
        </w:tc>
        <w:tc>
          <w:tcPr>
            <w:tcW w:w="603" w:type="dxa"/>
            <w:tcBorders>
              <w:top w:val="single" w:sz="6" w:space="0" w:color="auto"/>
              <w:left w:val="nil"/>
              <w:bottom w:val="single" w:sz="6" w:space="0" w:color="auto"/>
              <w:right w:val="nil"/>
            </w:tcBorders>
            <w:vAlign w:val="center"/>
          </w:tcPr>
          <w:p w14:paraId="266F046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CC54B03">
                <v:shape id="_x0000_i1101" type="#_x0000_t75" alt="" style="width:12.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1F36&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C1F36&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Ï€&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6" o:title="" chromakey="white"/>
                </v:shape>
              </w:pict>
            </w:r>
          </w:p>
        </w:tc>
        <w:tc>
          <w:tcPr>
            <w:tcW w:w="602" w:type="dxa"/>
            <w:tcBorders>
              <w:top w:val="single" w:sz="6" w:space="0" w:color="auto"/>
              <w:left w:val="nil"/>
              <w:bottom w:val="single" w:sz="6" w:space="0" w:color="auto"/>
              <w:right w:val="nil"/>
            </w:tcBorders>
            <w:vAlign w:val="center"/>
          </w:tcPr>
          <w:p w14:paraId="0C09B74C"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935A1EE">
                <v:shape id="_x0000_i1100" type="#_x0000_t75" alt="" style="width:10.3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96D9E&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96D9E&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i&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7" o:title="" chromakey="white"/>
                </v:shape>
              </w:pict>
            </w:r>
          </w:p>
        </w:tc>
        <w:tc>
          <w:tcPr>
            <w:tcW w:w="603" w:type="dxa"/>
            <w:tcBorders>
              <w:top w:val="single" w:sz="6" w:space="0" w:color="auto"/>
              <w:left w:val="nil"/>
              <w:bottom w:val="single" w:sz="6" w:space="0" w:color="auto"/>
              <w:right w:val="nil"/>
            </w:tcBorders>
            <w:vAlign w:val="center"/>
          </w:tcPr>
          <w:p w14:paraId="6BC98F16"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28AAA29">
                <v:shape id="_x0000_i1099" type="#_x0000_t75" alt="" style="width:9.5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3812&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A3812&quot;&gt;&lt;m:oMathPara&gt;&lt;m:oMath&gt;&lt;m:sSub&gt;&lt;m:sSubPr&gt;&lt;m:ctrlPr&gt;&lt;w:rPr&gt;&lt;w:rFonts w:ascii=&quot;Cambria Math&quot; w:fareast=&quot;Times New Roman&quot; w:h-ansi=&quot;Cambria Math&quot; w:cs=&quot;Calibri Light&quot;/&gt;&lt;wx:font wx:val=&quot;Cambria Math&quot;/&gt;&lt;w:i/&gt;&lt;w:lang w:val=&quot;ES-TRAD&quot;/&gt;&lt;/w:rPr&gt;&lt;/m:ctrlPr&gt;&lt;/m:sSubPr&gt;&lt;m:e&gt;&lt;m:r&gt;&lt;w:rPr&gt;&lt;w:rFonts w:ascii=&quot;Cambria Math&quot; w:fareast=&quot;Times New Roman&quot; w:h-ansi=&quot;Cambria Math&quot; w:cs=&quot;Calibri Light&quot;/&gt;&lt;wx:font wx:val=&quot;Cambria Math&quot;/&gt;&lt;w:i/&gt;&lt;w:lang w:val=&quot;ES-TRAD&quot;/&gt;&lt;/w:rPr&gt;&lt;m:t&gt;r&lt;/m:t&gt;&lt;/m:r&gt;&lt;/m:e&gt;&lt;m:sub&gt;&lt;m:r&gt;&lt;w:rPr&gt;&lt;w:rFonts w:ascii=&quot;Cambria Math&quot; w:fareast=&quot;Times New Roman&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8" o:title="" chromakey="white"/>
                </v:shape>
              </w:pict>
            </w:r>
          </w:p>
        </w:tc>
        <w:tc>
          <w:tcPr>
            <w:tcW w:w="602" w:type="dxa"/>
            <w:tcBorders>
              <w:top w:val="single" w:sz="6" w:space="0" w:color="auto"/>
              <w:left w:val="nil"/>
              <w:bottom w:val="single" w:sz="6" w:space="0" w:color="auto"/>
              <w:right w:val="nil"/>
            </w:tcBorders>
            <w:vAlign w:val="center"/>
          </w:tcPr>
          <w:p w14:paraId="2E832CD7"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6E580D0">
                <v:shape id="_x0000_i1098" type="#_x0000_t75" alt="" style="width:14.7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496&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A2496&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er&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79" o:title="" chromakey="white"/>
                </v:shape>
              </w:pict>
            </w:r>
          </w:p>
        </w:tc>
        <w:tc>
          <w:tcPr>
            <w:tcW w:w="603" w:type="dxa"/>
            <w:tcBorders>
              <w:top w:val="single" w:sz="6" w:space="0" w:color="auto"/>
              <w:left w:val="nil"/>
              <w:bottom w:val="single" w:sz="6" w:space="0" w:color="auto"/>
              <w:right w:val="nil"/>
            </w:tcBorders>
            <w:vAlign w:val="center"/>
          </w:tcPr>
          <w:p w14:paraId="795BF2AB"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E8EFAD0">
                <v:shape id="_x0000_i1097"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30B&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9630B&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q&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0" o:title="" chromakey="white"/>
                </v:shape>
              </w:pict>
            </w:r>
          </w:p>
        </w:tc>
        <w:tc>
          <w:tcPr>
            <w:tcW w:w="602" w:type="dxa"/>
            <w:tcBorders>
              <w:top w:val="single" w:sz="6" w:space="0" w:color="auto"/>
              <w:left w:val="nil"/>
              <w:bottom w:val="single" w:sz="6" w:space="0" w:color="auto"/>
              <w:right w:val="nil"/>
            </w:tcBorders>
            <w:vAlign w:val="center"/>
          </w:tcPr>
          <w:p w14:paraId="57797DA9"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3B272DB">
                <v:shape id="_x0000_i1096" type="#_x0000_t75" alt="" style="width:16.1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225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A225C&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pr&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1" o:title="" chromakey="white"/>
                </v:shape>
              </w:pict>
            </w:r>
          </w:p>
        </w:tc>
        <w:tc>
          <w:tcPr>
            <w:tcW w:w="603" w:type="dxa"/>
            <w:tcBorders>
              <w:top w:val="single" w:sz="6" w:space="0" w:color="auto"/>
              <w:left w:val="nil"/>
              <w:bottom w:val="single" w:sz="6" w:space="0" w:color="auto"/>
              <w:right w:val="nil"/>
            </w:tcBorders>
            <w:vAlign w:val="center"/>
          </w:tcPr>
          <w:p w14:paraId="6AD699D4"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F0584AA">
                <v:shape id="_x0000_i1095" type="#_x0000_t75" alt="" style="width:16.9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29F2&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829F2&quot;&gt;&lt;m:oMathPara&gt;&lt;m:oMath&gt;&lt;m:sSub&gt;&lt;m:sSubPr&gt;&lt;m:ctrlPr&gt;&lt;w:rPr&gt;&lt;w:rFonts w:ascii=&quot;Cambria Math&quot; w:h-ansi=&quot;Cambria Math&quot; w:cs=&quot;Calibri Light&quot;/&gt;&lt;wx:font wx:val=&quot;Cambria Math&quot;/&gt;&lt;w:i/&gt;&lt;w:lang w:val=&quot;ES-TRAD&quot;/&gt;&lt;/w:rPr&gt;&lt;/m:ctrlPr&gt;&lt;/m:sSubPr&gt;&lt;m:e&gt;&lt;m:r&gt;&lt;w:rPr&gt;&lt;w:rFonts w:ascii=&quot;Cambria Math&quot; w:h-ansi=&quot;Cambria Math&quot; w:cs=&quot;Calibri Light&quot;/&gt;&lt;wx:font wx:val=&quot;Cambria Math&quot;/&gt;&lt;w:i/&gt;&lt;w:lang w:val=&quot;ES-TRAD&quot;/&gt;&lt;/w:rPr&gt;&lt;m:t&gt;df&lt;/m:t&gt;&lt;/m:r&gt;&lt;/m:e&gt;&lt;m:sub&gt;&lt;m:r&gt;&lt;w:rPr&gt;&lt;w:rFonts w:ascii=&quot;Cambria Math&quot; w:h-ansi=&quot;Cambria Math&quot; w:cs=&quot;Calibri Light&quot;/&gt;&lt;wx:font wx:val=&quot;Cambria Math&quot;/&gt;&lt;w:i/&gt;&lt;w:lang w:val=&quot;ES-TRAD&quot;/&gt;&lt;/w:rPr&gt;&lt;m:t&gt;t&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2" o:title="" chromakey="white"/>
                </v:shape>
              </w:pict>
            </w:r>
          </w:p>
        </w:tc>
      </w:tr>
      <w:tr w:rsidR="00746D5F" w:rsidRPr="00746D5F" w14:paraId="09D4B69D" w14:textId="77777777" w:rsidTr="00E37438">
        <w:tc>
          <w:tcPr>
            <w:tcW w:w="4168" w:type="dxa"/>
            <w:tcBorders>
              <w:top w:val="single" w:sz="6" w:space="0" w:color="auto"/>
              <w:left w:val="nil"/>
              <w:bottom w:val="single" w:sz="6" w:space="0" w:color="auto"/>
              <w:right w:val="nil"/>
            </w:tcBorders>
          </w:tcPr>
          <w:p w14:paraId="1532A8E3"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de demanda</w:t>
            </w:r>
          </w:p>
        </w:tc>
        <w:tc>
          <w:tcPr>
            <w:tcW w:w="602" w:type="dxa"/>
            <w:tcBorders>
              <w:top w:val="single" w:sz="6" w:space="0" w:color="auto"/>
              <w:left w:val="nil"/>
              <w:bottom w:val="single" w:sz="6" w:space="0" w:color="auto"/>
              <w:right w:val="nil"/>
            </w:tcBorders>
            <w:vAlign w:val="center"/>
          </w:tcPr>
          <w:p w14:paraId="5385D43F"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577A44E">
                <v:shape id="_x0000_i1094"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4BB&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724BB&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502C4F2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05DEAF19">
                <v:shape id="_x0000_i109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2B9&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E242B9&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4EE64677"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3154782">
                <v:shape id="_x0000_i1092"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E64C2&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E64C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732A2A4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24E9B81">
                <v:shape id="_x0000_i109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1E0&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861E0&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33A3F673"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0923DBF4">
                <v:shape id="_x0000_i1090"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8D0&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A78D0&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343276EA"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A0133BF">
                <v:shape id="_x0000_i1089"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3BAC&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563BAC&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0F08C062"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D0A935A">
                <v:shape id="_x0000_i1088"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B3&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627B3&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5DC92D1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67BB4BC">
                <v:shape id="_x0000_i1087"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35E&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5535E&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r>
      <w:tr w:rsidR="00746D5F" w:rsidRPr="00746D5F" w14:paraId="60D831D4" w14:textId="77777777" w:rsidTr="00E37438">
        <w:tc>
          <w:tcPr>
            <w:tcW w:w="4168" w:type="dxa"/>
            <w:tcBorders>
              <w:top w:val="single" w:sz="6" w:space="0" w:color="auto"/>
              <w:left w:val="nil"/>
              <w:bottom w:val="single" w:sz="6" w:space="0" w:color="auto"/>
              <w:right w:val="nil"/>
            </w:tcBorders>
          </w:tcPr>
          <w:p w14:paraId="406E48ED"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términos de intercambio</w:t>
            </w:r>
          </w:p>
        </w:tc>
        <w:tc>
          <w:tcPr>
            <w:tcW w:w="602" w:type="dxa"/>
            <w:tcBorders>
              <w:top w:val="single" w:sz="6" w:space="0" w:color="auto"/>
              <w:left w:val="nil"/>
              <w:bottom w:val="single" w:sz="6" w:space="0" w:color="auto"/>
              <w:right w:val="nil"/>
            </w:tcBorders>
            <w:vAlign w:val="center"/>
          </w:tcPr>
          <w:p w14:paraId="61F08629"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04972CC6">
                <v:shape id="_x0000_i1086"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032E&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0032E&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6357B978"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D38BCEB">
                <v:shape id="_x0000_i1085"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8&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D3AC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377323FC"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8799A7E">
                <v:shape id="_x0000_i1084"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56D&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8B556D&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573849E5"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0E0E2F6">
                <v:shape id="_x0000_i108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6A6D&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36A6D&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2577BDBF"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6FDFEC9">
                <v:shape id="_x0000_i1082"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2892&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0289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7DB6FCE8"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9C3C6AF">
                <v:shape id="_x0000_i108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87CE4&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87CE4&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70115D25"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754DF85">
                <v:shape id="_x0000_i1080"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594&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B6594&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652F40DC"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2D706089">
                <v:shape id="_x0000_i1079"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06D8&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C06D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r>
      <w:tr w:rsidR="00746D5F" w:rsidRPr="00746D5F" w14:paraId="28BF7B73" w14:textId="77777777" w:rsidTr="00E37438">
        <w:tc>
          <w:tcPr>
            <w:tcW w:w="4168" w:type="dxa"/>
            <w:tcBorders>
              <w:top w:val="single" w:sz="6" w:space="0" w:color="auto"/>
              <w:left w:val="nil"/>
              <w:bottom w:val="single" w:sz="6" w:space="0" w:color="auto"/>
              <w:right w:val="nil"/>
            </w:tcBorders>
          </w:tcPr>
          <w:p w14:paraId="60FC8029"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económico externo</w:t>
            </w:r>
          </w:p>
        </w:tc>
        <w:tc>
          <w:tcPr>
            <w:tcW w:w="602" w:type="dxa"/>
            <w:tcBorders>
              <w:top w:val="single" w:sz="6" w:space="0" w:color="auto"/>
              <w:left w:val="nil"/>
              <w:bottom w:val="single" w:sz="6" w:space="0" w:color="auto"/>
              <w:right w:val="nil"/>
            </w:tcBorders>
            <w:vAlign w:val="center"/>
          </w:tcPr>
          <w:p w14:paraId="51CD7F2F"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2B397836">
                <v:shape id="_x0000_i1078"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22FE&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E322FE&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5395033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2D56392">
                <v:shape id="_x0000_i1077"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1D6&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311D6&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16A855D4"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2B8AC11">
                <v:shape id="_x0000_i1076"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EFB&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47EFB&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52F1767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6688944">
                <v:shape id="_x0000_i1075"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42B3&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442B3&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145B7666"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6ED7EEE">
                <v:shape id="_x0000_i1074"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3A28&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13A2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13D9EA7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9D9662E">
                <v:shape id="_x0000_i107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1A06&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61A06&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2A05A989"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91045E7">
                <v:shape id="_x0000_i1072"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0F4F&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E0F4F&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3645A45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2CAAB2A2">
                <v:shape id="_x0000_i107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0803&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30803&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r>
      <w:tr w:rsidR="00746D5F" w:rsidRPr="00746D5F" w14:paraId="6A3A34CF" w14:textId="77777777" w:rsidTr="00E37438">
        <w:tc>
          <w:tcPr>
            <w:tcW w:w="4168" w:type="dxa"/>
            <w:tcBorders>
              <w:top w:val="single" w:sz="6" w:space="0" w:color="auto"/>
              <w:left w:val="nil"/>
              <w:bottom w:val="single" w:sz="6" w:space="0" w:color="auto"/>
              <w:right w:val="nil"/>
            </w:tcBorders>
          </w:tcPr>
          <w:p w14:paraId="54EFA153"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de oferta</w:t>
            </w:r>
          </w:p>
        </w:tc>
        <w:tc>
          <w:tcPr>
            <w:tcW w:w="602" w:type="dxa"/>
            <w:tcBorders>
              <w:top w:val="single" w:sz="6" w:space="0" w:color="auto"/>
              <w:left w:val="nil"/>
              <w:bottom w:val="single" w:sz="6" w:space="0" w:color="auto"/>
              <w:right w:val="nil"/>
            </w:tcBorders>
            <w:vAlign w:val="center"/>
          </w:tcPr>
          <w:p w14:paraId="080CCFF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D24B8E1">
                <v:shape id="_x0000_i1070"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A2E&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D3A2E&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6E93C06C"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E0E9898">
                <v:shape id="_x0000_i1069"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69C&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78169C&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3549F32F"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BDE203A">
                <v:shape id="_x0000_i1068"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21CA&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821CA&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710326F7"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2679FC4E">
                <v:shape id="_x0000_i1067"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2F35&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22F35&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20FACA38"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ECB5F59">
                <v:shape id="_x0000_i1066"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3DDA&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83DDA&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502C7CD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CBAD74F">
                <v:shape id="_x0000_i1065"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6D00&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496D00&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55BD39C9"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5458334">
                <v:shape id="_x0000_i1064"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3780&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8C3780&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575EC862"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23A5E66">
                <v:shape id="_x0000_i106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3BB&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5233BB&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r>
      <w:tr w:rsidR="00746D5F" w:rsidRPr="00746D5F" w14:paraId="383D30DC" w14:textId="77777777" w:rsidTr="00E37438">
        <w:tc>
          <w:tcPr>
            <w:tcW w:w="4168" w:type="dxa"/>
            <w:tcBorders>
              <w:top w:val="single" w:sz="6" w:space="0" w:color="auto"/>
              <w:left w:val="nil"/>
              <w:bottom w:val="single" w:sz="6" w:space="0" w:color="auto"/>
              <w:right w:val="nil"/>
            </w:tcBorders>
          </w:tcPr>
          <w:p w14:paraId="5608E7E7"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de política</w:t>
            </w:r>
          </w:p>
        </w:tc>
        <w:tc>
          <w:tcPr>
            <w:tcW w:w="602" w:type="dxa"/>
            <w:tcBorders>
              <w:top w:val="single" w:sz="6" w:space="0" w:color="auto"/>
              <w:left w:val="nil"/>
              <w:bottom w:val="single" w:sz="6" w:space="0" w:color="auto"/>
              <w:right w:val="nil"/>
            </w:tcBorders>
            <w:vAlign w:val="center"/>
          </w:tcPr>
          <w:p w14:paraId="2EB568A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F02D8F1">
                <v:shape id="_x0000_i1062"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08DC&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F08DC&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007D93F0"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E457E6A">
                <v:shape id="_x0000_i106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4EF&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F04EF&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6CA0FE8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F38E8C8">
                <v:shape id="_x0000_i1060"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49D3&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C49D3&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77527968"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9CC66E1">
                <v:shape id="_x0000_i1059"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381C&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3381C&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32087ED9"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5D6D406">
                <v:shape id="_x0000_i1058"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8B4&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ED08B4&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0AF70C3F"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292C5DEB">
                <v:shape id="_x0000_i1057"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6C7D&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A6C7D&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429D965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07BD5BF">
                <v:shape id="_x0000_i1056"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AF43C8&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F43C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329C7B9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66F71301">
                <v:shape id="_x0000_i1055"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D66&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75D66&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r>
      <w:tr w:rsidR="00746D5F" w:rsidRPr="00746D5F" w14:paraId="655BA526" w14:textId="77777777" w:rsidTr="00E37438">
        <w:tc>
          <w:tcPr>
            <w:tcW w:w="4168" w:type="dxa"/>
            <w:tcBorders>
              <w:top w:val="single" w:sz="6" w:space="0" w:color="auto"/>
              <w:left w:val="nil"/>
              <w:bottom w:val="single" w:sz="6" w:space="0" w:color="auto"/>
              <w:right w:val="nil"/>
            </w:tcBorders>
          </w:tcPr>
          <w:p w14:paraId="1E8830D4"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de prima de riego</w:t>
            </w:r>
          </w:p>
        </w:tc>
        <w:tc>
          <w:tcPr>
            <w:tcW w:w="602" w:type="dxa"/>
            <w:tcBorders>
              <w:top w:val="single" w:sz="6" w:space="0" w:color="auto"/>
              <w:left w:val="nil"/>
              <w:bottom w:val="single" w:sz="6" w:space="0" w:color="auto"/>
              <w:right w:val="nil"/>
            </w:tcBorders>
            <w:vAlign w:val="center"/>
          </w:tcPr>
          <w:p w14:paraId="69C604B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B8A7F49">
                <v:shape id="_x0000_i1054"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5E96&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5E5E96&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6CB0AAB0"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BE26C98">
                <v:shape id="_x0000_i105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4682&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6468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50910E95"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204EA29">
                <v:shape id="_x0000_i1052"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77ED0&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77ED0&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67E952A7"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B676BC1">
                <v:shape id="_x0000_i105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47A2&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347A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7D14B96A"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A25377E">
                <v:shape id="_x0000_i1050"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6E7F&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A6E7F&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1F1A152A"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5FE2E2B">
                <v:shape id="_x0000_i1049"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0A41&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A20A41&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46AAB743"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1F5221F">
                <v:shape id="_x0000_i1048"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17E8&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0917E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1E45585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F2FFA37">
                <v:shape id="_x0000_i1047"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848&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D484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r>
      <w:tr w:rsidR="00746D5F" w:rsidRPr="00746D5F" w14:paraId="3C1D05D0" w14:textId="77777777" w:rsidTr="00E37438">
        <w:tc>
          <w:tcPr>
            <w:tcW w:w="4168" w:type="dxa"/>
            <w:tcBorders>
              <w:top w:val="single" w:sz="6" w:space="0" w:color="auto"/>
              <w:left w:val="nil"/>
              <w:bottom w:val="single" w:sz="6" w:space="0" w:color="auto"/>
              <w:right w:val="nil"/>
            </w:tcBorders>
          </w:tcPr>
          <w:p w14:paraId="07DB99F2"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de tasa externa</w:t>
            </w:r>
          </w:p>
        </w:tc>
        <w:tc>
          <w:tcPr>
            <w:tcW w:w="602" w:type="dxa"/>
            <w:tcBorders>
              <w:top w:val="single" w:sz="6" w:space="0" w:color="auto"/>
              <w:left w:val="nil"/>
              <w:bottom w:val="single" w:sz="6" w:space="0" w:color="auto"/>
              <w:right w:val="nil"/>
            </w:tcBorders>
            <w:vAlign w:val="center"/>
          </w:tcPr>
          <w:p w14:paraId="0EAD850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5F7DB5C">
                <v:shape id="_x0000_i1046"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3EC&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F603EC&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31D5F6A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9FADD9B">
                <v:shape id="_x0000_i1045"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584&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B6584&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7865121A"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04EEC16">
                <v:shape id="_x0000_i1044"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6758&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596758&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587465A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F8FADF3">
                <v:shape id="_x0000_i104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1A3&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D31A3&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046DB655"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BA4E1E6">
                <v:shape id="_x0000_i1042"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38FD&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A38FD&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7FF8807D"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3689924B">
                <v:shape id="_x0000_i104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6432&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C643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7B6642A7"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5616A587">
                <v:shape id="_x0000_i1040"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0631&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F0631&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1D17FBA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9D4BFFF">
                <v:shape id="_x0000_i1039"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4D3&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EB54D3&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r>
      <w:tr w:rsidR="00746D5F" w:rsidRPr="00746D5F" w14:paraId="33A40D40" w14:textId="77777777" w:rsidTr="00E37438">
        <w:tc>
          <w:tcPr>
            <w:tcW w:w="4168" w:type="dxa"/>
            <w:tcBorders>
              <w:top w:val="single" w:sz="6" w:space="0" w:color="auto"/>
              <w:left w:val="nil"/>
              <w:bottom w:val="single" w:sz="6" w:space="0" w:color="auto"/>
              <w:right w:val="nil"/>
            </w:tcBorders>
          </w:tcPr>
          <w:p w14:paraId="4074CA7D"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Choque fiscal</w:t>
            </w:r>
          </w:p>
        </w:tc>
        <w:tc>
          <w:tcPr>
            <w:tcW w:w="602" w:type="dxa"/>
            <w:tcBorders>
              <w:top w:val="single" w:sz="6" w:space="0" w:color="auto"/>
              <w:left w:val="nil"/>
              <w:bottom w:val="single" w:sz="6" w:space="0" w:color="auto"/>
              <w:right w:val="nil"/>
            </w:tcBorders>
            <w:vAlign w:val="center"/>
          </w:tcPr>
          <w:p w14:paraId="5B88F3A7"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D12CA3C">
                <v:shape id="_x0000_i1038"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12&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B1771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2FF82A21"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139A07AD">
                <v:shape id="_x0000_i1037"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27FD&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2027FD&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5E75135F"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096050CB">
                <v:shape id="_x0000_i1036"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5416&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1A5416&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3" w:type="dxa"/>
            <w:tcBorders>
              <w:top w:val="single" w:sz="6" w:space="0" w:color="auto"/>
              <w:left w:val="nil"/>
              <w:bottom w:val="single" w:sz="6" w:space="0" w:color="auto"/>
              <w:right w:val="nil"/>
            </w:tcBorders>
            <w:vAlign w:val="center"/>
          </w:tcPr>
          <w:p w14:paraId="4C75061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061FC55E">
                <v:shape id="_x0000_i1035"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1551&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9C1551&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c>
          <w:tcPr>
            <w:tcW w:w="602" w:type="dxa"/>
            <w:tcBorders>
              <w:top w:val="single" w:sz="6" w:space="0" w:color="auto"/>
              <w:left w:val="nil"/>
              <w:bottom w:val="single" w:sz="6" w:space="0" w:color="auto"/>
              <w:right w:val="nil"/>
            </w:tcBorders>
            <w:vAlign w:val="center"/>
          </w:tcPr>
          <w:p w14:paraId="4078883C"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2D886D3F">
                <v:shape id="_x0000_i1034"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C4A&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3D2C4A&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3" w:type="dxa"/>
            <w:tcBorders>
              <w:top w:val="single" w:sz="6" w:space="0" w:color="auto"/>
              <w:left w:val="nil"/>
              <w:bottom w:val="single" w:sz="6" w:space="0" w:color="auto"/>
              <w:right w:val="nil"/>
            </w:tcBorders>
            <w:vAlign w:val="center"/>
          </w:tcPr>
          <w:p w14:paraId="6B0F4FBE"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08731AAF">
                <v:shape id="_x0000_i1033"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279D&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CB279D&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4" o:title="" chromakey="white"/>
                </v:shape>
              </w:pict>
            </w:r>
          </w:p>
        </w:tc>
        <w:tc>
          <w:tcPr>
            <w:tcW w:w="602" w:type="dxa"/>
            <w:tcBorders>
              <w:top w:val="single" w:sz="6" w:space="0" w:color="auto"/>
              <w:left w:val="nil"/>
              <w:bottom w:val="single" w:sz="6" w:space="0" w:color="auto"/>
              <w:right w:val="nil"/>
            </w:tcBorders>
            <w:vAlign w:val="center"/>
          </w:tcPr>
          <w:p w14:paraId="45732615"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4145CF27">
                <v:shape id="_x0000_i1032" type="#_x0000_t75" alt="" style="width:1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2BE2&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72BE2&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5" o:title="" chromakey="white"/>
                </v:shape>
              </w:pict>
            </w:r>
          </w:p>
        </w:tc>
        <w:tc>
          <w:tcPr>
            <w:tcW w:w="603" w:type="dxa"/>
            <w:tcBorders>
              <w:top w:val="single" w:sz="6" w:space="0" w:color="auto"/>
              <w:left w:val="nil"/>
              <w:bottom w:val="single" w:sz="6" w:space="0" w:color="auto"/>
              <w:right w:val="nil"/>
            </w:tcBorders>
            <w:vAlign w:val="center"/>
          </w:tcPr>
          <w:p w14:paraId="6D88C96B" w14:textId="77777777" w:rsidR="00746D5F" w:rsidRPr="00746D5F" w:rsidRDefault="009B31E4" w:rsidP="00E37438">
            <w:pPr>
              <w:jc w:val="center"/>
              <w:rPr>
                <w:rFonts w:ascii="Calibri" w:hAnsi="Calibri" w:cs="Calibri"/>
                <w:sz w:val="22"/>
                <w:lang w:val="es-ES_tradnl"/>
              </w:rPr>
            </w:pPr>
            <w:r w:rsidRPr="009B31E4">
              <w:rPr>
                <w:rFonts w:ascii="Calibri" w:hAnsi="Calibri" w:cs="Calibri"/>
                <w:noProof/>
                <w:sz w:val="22"/>
              </w:rPr>
              <w:pict w14:anchorId="746472AF">
                <v:shape id="_x0000_i1031" type="#_x0000_t75" alt="" style="width:6.6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340C&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51340C&quot;&gt;&lt;m:oMathPara&gt;&lt;m:oMath&gt;&lt;m:r&gt;&lt;w:rPr&gt;&lt;w:rFonts w:ascii=&quot;Cambria Math&quot; w:fareast=&quot;Times New Roman&quot; w:h-ansi=&quot;Cambria Math&quot; w:cs=&quot;Calibri Light&quot;/&gt;&lt;wx:font wx:val=&quot;Cambria Math&quot;/&gt;&lt;w:i/&gt;&lt;w:lang w:val=&quot;ES-TRAD&quot;/&gt;&lt;/w:rPr&gt;&lt;m:t&gt;â†‘&lt;/m:t&gt;&lt;/m:r&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3" o:title="" chromakey="white"/>
                </v:shape>
              </w:pict>
            </w:r>
          </w:p>
        </w:tc>
      </w:tr>
      <w:tr w:rsidR="00746D5F" w:rsidRPr="00746D5F" w14:paraId="15E43027" w14:textId="77777777" w:rsidTr="00E37438">
        <w:tc>
          <w:tcPr>
            <w:tcW w:w="8988" w:type="dxa"/>
            <w:gridSpan w:val="9"/>
            <w:tcBorders>
              <w:top w:val="single" w:sz="6" w:space="0" w:color="auto"/>
              <w:left w:val="nil"/>
              <w:bottom w:val="single" w:sz="6" w:space="0" w:color="auto"/>
              <w:right w:val="nil"/>
            </w:tcBorders>
          </w:tcPr>
          <w:p w14:paraId="379D21FF"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 xml:space="preserve">Notas: </w:t>
            </w:r>
            <w:r w:rsidRPr="00746D5F">
              <w:rPr>
                <w:rFonts w:ascii="Calibri" w:hAnsi="Calibri" w:cs="Calibri"/>
                <w:sz w:val="22"/>
                <w:lang w:val="es-ES_tradnl"/>
              </w:rPr>
              <w:fldChar w:fldCharType="begin"/>
            </w:r>
            <w:r w:rsidRPr="00746D5F">
              <w:rPr>
                <w:rFonts w:ascii="Calibri" w:hAnsi="Calibri" w:cs="Calibri"/>
                <w:sz w:val="22"/>
                <w:lang w:val="es-ES_tradnl"/>
              </w:rPr>
              <w:instrText xml:space="preserve"> QUOTE </w:instrText>
            </w:r>
            <w:r w:rsidR="009B31E4" w:rsidRPr="009B31E4">
              <w:rPr>
                <w:rFonts w:ascii="Calibri" w:hAnsi="Calibri" w:cs="Calibri"/>
                <w:noProof/>
                <w:sz w:val="22"/>
              </w:rPr>
              <w:pict w14:anchorId="64B6D1BA">
                <v:shape id="_x0000_i1030" type="#_x0000_t75" alt="" style="width:13.9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3922&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E3922&quot;&gt;&lt;m:oMathPara&gt;&lt;m:oMath&gt;&lt;m:d&gt;&lt;m:dPr&gt;&lt;m:ctrlPr&gt;&lt;w:rPr&gt;&lt;w:rFonts w:ascii=&quot;Cambria Math&quot; w:fareast=&quot;Times New Roman&quot; w:h-ansi=&quot;Cambria Math&quot; w:cs=&quot;Calibri Light&quot;/&gt;&lt;wx:font wx:val=&quot;Cambria Math&quot;/&gt;&lt;w:i/&gt;&lt;w:lang w:val=&quot;ES-TRAD&quot;/&gt;&lt;/w:rPr&gt;&lt;/m:ctrlPr&gt;&lt;/m:dPr&gt;&lt;m:e&gt;&lt;m:r&gt;&lt;w:rPr&gt;&lt;w:rFonts w:ascii=&quot;Cambria Math&quot; w:fareast=&quot;Times New Roman&quot; w:h-ansi=&quot;Cambria Math&quot; w:cs=&quot;Calibri Light&quot;/&gt;&lt;wx:font wx:val=&quot;Cambria Math&quot;/&gt;&lt;w:i/&gt;&lt;w:lang w:val=&quot;ES-TRAD&quot;/&gt;&lt;/w:rPr&gt;&lt;m:t&gt;â†‘&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6" o:title="" chromakey="white"/>
                </v:shape>
              </w:pict>
            </w:r>
            <w:r w:rsidRPr="00746D5F">
              <w:rPr>
                <w:rFonts w:ascii="Calibri" w:hAnsi="Calibri" w:cs="Calibri"/>
                <w:sz w:val="22"/>
                <w:lang w:val="es-ES_tradnl"/>
              </w:rPr>
              <w:instrText xml:space="preserve"> </w:instrText>
            </w:r>
            <w:r w:rsidRPr="00746D5F">
              <w:rPr>
                <w:rFonts w:ascii="Calibri" w:hAnsi="Calibri" w:cs="Calibri"/>
                <w:sz w:val="22"/>
                <w:lang w:val="es-ES_tradnl"/>
              </w:rPr>
              <w:fldChar w:fldCharType="separate"/>
            </w:r>
            <w:r w:rsidR="009B31E4" w:rsidRPr="009B31E4">
              <w:rPr>
                <w:rFonts w:ascii="Calibri" w:hAnsi="Calibri" w:cs="Calibri"/>
                <w:noProof/>
                <w:sz w:val="22"/>
              </w:rPr>
              <w:pict w14:anchorId="01B5DEFB">
                <v:shape id="_x0000_i1029" type="#_x0000_t75" alt="" style="width:13.9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3922&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E3922&quot;&gt;&lt;m:oMathPara&gt;&lt;m:oMath&gt;&lt;m:d&gt;&lt;m:dPr&gt;&lt;m:ctrlPr&gt;&lt;w:rPr&gt;&lt;w:rFonts w:ascii=&quot;Cambria Math&quot; w:fareast=&quot;Times New Roman&quot; w:h-ansi=&quot;Cambria Math&quot; w:cs=&quot;Calibri Light&quot;/&gt;&lt;wx:font wx:val=&quot;Cambria Math&quot;/&gt;&lt;w:i/&gt;&lt;w:lang w:val=&quot;ES-TRAD&quot;/&gt;&lt;/w:rPr&gt;&lt;/m:ctrlPr&gt;&lt;/m:dPr&gt;&lt;m:e&gt;&lt;m:r&gt;&lt;w:rPr&gt;&lt;w:rFonts w:ascii=&quot;Cambria Math&quot; w:fareast=&quot;Times New Roman&quot; w:h-ansi=&quot;Cambria Math&quot; w:cs=&quot;Calibri Light&quot;/&gt;&lt;wx:font wx:val=&quot;Cambria Math&quot;/&gt;&lt;w:i/&gt;&lt;w:lang w:val=&quot;ES-TRAD&quot;/&gt;&lt;/w:rPr&gt;&lt;m:t&gt;â†‘&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6" o:title="" chromakey="white"/>
                </v:shape>
              </w:pict>
            </w:r>
            <w:r w:rsidRPr="00746D5F">
              <w:rPr>
                <w:rFonts w:ascii="Calibri" w:hAnsi="Calibri" w:cs="Calibri"/>
                <w:sz w:val="22"/>
                <w:lang w:val="es-ES_tradnl"/>
              </w:rPr>
              <w:fldChar w:fldCharType="end"/>
            </w:r>
            <w:r w:rsidRPr="00746D5F">
              <w:rPr>
                <w:rFonts w:ascii="Calibri" w:hAnsi="Calibri" w:cs="Calibri"/>
                <w:sz w:val="22"/>
                <w:lang w:val="es-ES_tradnl"/>
              </w:rPr>
              <w:t xml:space="preserve"> Significa respuesta positiva de las variables en las columnas a los choques en las filas.</w:t>
            </w:r>
          </w:p>
          <w:p w14:paraId="222E13FF"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 xml:space="preserve"> </w:t>
            </w:r>
            <w:r w:rsidRPr="00746D5F">
              <w:rPr>
                <w:rFonts w:ascii="Calibri" w:hAnsi="Calibri" w:cs="Calibri"/>
                <w:sz w:val="22"/>
                <w:lang w:val="es-ES_tradnl"/>
              </w:rPr>
              <w:fldChar w:fldCharType="begin"/>
            </w:r>
            <w:r w:rsidRPr="00746D5F">
              <w:rPr>
                <w:rFonts w:ascii="Calibri" w:hAnsi="Calibri" w:cs="Calibri"/>
                <w:sz w:val="22"/>
                <w:lang w:val="es-ES_tradnl"/>
              </w:rPr>
              <w:instrText xml:space="preserve"> QUOTE </w:instrText>
            </w:r>
            <w:r w:rsidR="009B31E4" w:rsidRPr="009B31E4">
              <w:rPr>
                <w:rFonts w:ascii="Calibri" w:hAnsi="Calibri" w:cs="Calibri"/>
                <w:noProof/>
                <w:sz w:val="22"/>
              </w:rPr>
              <w:pict w14:anchorId="332F60DF">
                <v:shape id="_x0000_i1028" type="#_x0000_t75" alt="" style="width:13.9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2C9&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842C9&quot;&gt;&lt;m:oMathPara&gt;&lt;m:oMath&gt;&lt;m:d&gt;&lt;m:dPr&gt;&lt;m:ctrlPr&gt;&lt;w:rPr&gt;&lt;w:rFonts w:ascii=&quot;Cambria Math&quot; w:fareast=&quot;Times New Roman&quot; w:h-ansi=&quot;Cambria Math&quot; w:cs=&quot;Calibri Light&quot;/&gt;&lt;wx:font wx:val=&quot;Cambria Math&quot;/&gt;&lt;w:i/&gt;&lt;w:lang w:val=&quot;ES-TRAD&quot;/&gt;&lt;/w:rPr&gt;&lt;/m:ctrlPr&gt;&lt;/m:dPr&gt;&lt;m:e&gt;&lt;m:r&gt;&lt;w:rPr&gt;&lt;w:rFonts w:ascii=&quot;Cambria Math&quot; w:fareast=&quot;Times New Roman&quot; w:h-ansi=&quot;Cambria Math&quot; w:cs=&quot;Calibri Light&quot;/&gt;&lt;wx:font wx:val=&quot;Cambria Math&quot;/&gt;&lt;w:i/&gt;&lt;w:lang w:val=&quot;ES-TRAD&quot;/&gt;&lt;/w:rPr&gt;&lt;m:t&gt;â†“&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7" o:title="" chromakey="white"/>
                </v:shape>
              </w:pict>
            </w:r>
            <w:r w:rsidRPr="00746D5F">
              <w:rPr>
                <w:rFonts w:ascii="Calibri" w:hAnsi="Calibri" w:cs="Calibri"/>
                <w:sz w:val="22"/>
                <w:lang w:val="es-ES_tradnl"/>
              </w:rPr>
              <w:instrText xml:space="preserve"> </w:instrText>
            </w:r>
            <w:r w:rsidRPr="00746D5F">
              <w:rPr>
                <w:rFonts w:ascii="Calibri" w:hAnsi="Calibri" w:cs="Calibri"/>
                <w:sz w:val="22"/>
                <w:lang w:val="es-ES_tradnl"/>
              </w:rPr>
              <w:fldChar w:fldCharType="separate"/>
            </w:r>
            <w:r w:rsidR="009B31E4" w:rsidRPr="009B31E4">
              <w:rPr>
                <w:rFonts w:ascii="Calibri" w:hAnsi="Calibri" w:cs="Calibri"/>
                <w:noProof/>
                <w:sz w:val="22"/>
              </w:rPr>
              <w:pict w14:anchorId="21C7E0A6">
                <v:shape id="_x0000_i1027" type="#_x0000_t75" alt="" style="width:13.95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2C9&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D842C9&quot;&gt;&lt;m:oMathPara&gt;&lt;m:oMath&gt;&lt;m:d&gt;&lt;m:dPr&gt;&lt;m:ctrlPr&gt;&lt;w:rPr&gt;&lt;w:rFonts w:ascii=&quot;Cambria Math&quot; w:fareast=&quot;Times New Roman&quot; w:h-ansi=&quot;Cambria Math&quot; w:cs=&quot;Calibri Light&quot;/&gt;&lt;wx:font wx:val=&quot;Cambria Math&quot;/&gt;&lt;w:i/&gt;&lt;w:lang w:val=&quot;ES-TRAD&quot;/&gt;&lt;/w:rPr&gt;&lt;/m:ctrlPr&gt;&lt;/m:dPr&gt;&lt;m:e&gt;&lt;m:r&gt;&lt;w:rPr&gt;&lt;w:rFonts w:ascii=&quot;Cambria Math&quot; w:fareast=&quot;Times New Roman&quot; w:h-ansi=&quot;Cambria Math&quot; w:cs=&quot;Calibri Light&quot;/&gt;&lt;wx:font wx:val=&quot;Cambria Math&quot;/&gt;&lt;w:i/&gt;&lt;w:lang w:val=&quot;ES-TRAD&quot;/&gt;&lt;/w:rPr&gt;&lt;m:t&gt;â†“&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7" o:title="" chromakey="white"/>
                </v:shape>
              </w:pict>
            </w:r>
            <w:r w:rsidRPr="00746D5F">
              <w:rPr>
                <w:rFonts w:ascii="Calibri" w:hAnsi="Calibri" w:cs="Calibri"/>
                <w:sz w:val="22"/>
                <w:lang w:val="es-ES_tradnl"/>
              </w:rPr>
              <w:fldChar w:fldCharType="end"/>
            </w:r>
            <w:r w:rsidRPr="00746D5F">
              <w:rPr>
                <w:rFonts w:ascii="Calibri" w:hAnsi="Calibri" w:cs="Calibri"/>
                <w:sz w:val="22"/>
                <w:lang w:val="es-ES_tradnl"/>
              </w:rPr>
              <w:t xml:space="preserve"> Significa respuesta positiva de las variables en las columnas a los choques en las filas.</w:t>
            </w:r>
          </w:p>
          <w:p w14:paraId="5CC1E7BD" w14:textId="77777777" w:rsidR="00746D5F" w:rsidRPr="00746D5F" w:rsidRDefault="00746D5F" w:rsidP="00E37438">
            <w:pPr>
              <w:rPr>
                <w:rFonts w:ascii="Calibri" w:hAnsi="Calibri" w:cs="Calibri"/>
                <w:sz w:val="22"/>
                <w:lang w:val="es-ES_tradnl"/>
              </w:rPr>
            </w:pPr>
            <w:r w:rsidRPr="00746D5F">
              <w:rPr>
                <w:rFonts w:ascii="Calibri" w:hAnsi="Calibri" w:cs="Calibri"/>
                <w:sz w:val="22"/>
                <w:lang w:val="es-ES_tradnl"/>
              </w:rPr>
              <w:t xml:space="preserve"> </w:t>
            </w:r>
            <w:r w:rsidRPr="00746D5F">
              <w:rPr>
                <w:rFonts w:ascii="Calibri" w:hAnsi="Calibri" w:cs="Calibri"/>
                <w:sz w:val="22"/>
                <w:lang w:val="es-ES_tradnl"/>
              </w:rPr>
              <w:fldChar w:fldCharType="begin"/>
            </w:r>
            <w:r w:rsidRPr="00746D5F">
              <w:rPr>
                <w:rFonts w:ascii="Calibri" w:hAnsi="Calibri" w:cs="Calibri"/>
                <w:sz w:val="22"/>
                <w:lang w:val="es-ES_tradnl"/>
              </w:rPr>
              <w:instrText xml:space="preserve"> QUOTE </w:instrText>
            </w:r>
            <w:r w:rsidR="009B31E4" w:rsidRPr="009B31E4">
              <w:rPr>
                <w:rFonts w:ascii="Calibri" w:hAnsi="Calibri" w:cs="Calibri"/>
                <w:noProof/>
                <w:sz w:val="22"/>
              </w:rPr>
              <w:pict w14:anchorId="427C0B1F">
                <v:shape id="_x0000_i1026" type="#_x0000_t75" alt="" style="width:19.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3DE8&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83DE8&quot;&gt;&lt;m:oMathPara&gt;&lt;m:oMath&gt;&lt;m:d&gt;&lt;m:dPr&gt;&lt;m:ctrlPr&gt;&lt;w:rPr&gt;&lt;w:rFonts w:ascii=&quot;Cambria Math&quot; w:fareast=&quot;Times New Roman&quot; w:h-ansi=&quot;Cambria Math&quot; w:cs=&quot;Calibri Light&quot;/&gt;&lt;wx:font wx:val=&quot;Cambria Math&quot;/&gt;&lt;w:i/&gt;&lt;w:lang w:val=&quot;ES-TRAD&quot;/&gt;&lt;/w:rPr&gt;&lt;/m:ctrlPr&gt;&lt;/m:dPr&gt;&lt;m:e&gt;&lt;m:r&gt;&lt;w:rPr&gt;&lt;w:rFonts w:ascii=&quot;Cambria Math&quot; w:fareast=&quot;Times New Roman&quot; w:h-ansi=&quot;Cambria Math&quot; w:cs=&quot;Calibri Light&quot;/&gt;&lt;wx:font wx:val=&quot;Cambria Math&quot;/&gt;&lt;w:i/&gt;&lt;w:lang w:val=&quot;ES-TRAD&quot;/&gt;&lt;/w:rPr&gt;&lt;m:t&gt;â†”&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8" o:title="" chromakey="white"/>
                </v:shape>
              </w:pict>
            </w:r>
            <w:r w:rsidRPr="00746D5F">
              <w:rPr>
                <w:rFonts w:ascii="Calibri" w:hAnsi="Calibri" w:cs="Calibri"/>
                <w:sz w:val="22"/>
                <w:lang w:val="es-ES_tradnl"/>
              </w:rPr>
              <w:instrText xml:space="preserve"> </w:instrText>
            </w:r>
            <w:r w:rsidRPr="00746D5F">
              <w:rPr>
                <w:rFonts w:ascii="Calibri" w:hAnsi="Calibri" w:cs="Calibri"/>
                <w:sz w:val="22"/>
                <w:lang w:val="es-ES_tradnl"/>
              </w:rPr>
              <w:fldChar w:fldCharType="separate"/>
            </w:r>
            <w:r w:rsidR="009B31E4" w:rsidRPr="009B31E4">
              <w:rPr>
                <w:rFonts w:ascii="Calibri" w:hAnsi="Calibri" w:cs="Calibri"/>
                <w:noProof/>
                <w:sz w:val="22"/>
              </w:rPr>
              <w:pict w14:anchorId="04D2483E">
                <v:shape id="_x0000_i1025" type="#_x0000_t75" alt="" style="width:19.1pt;height:11pt;mso-width-percent:0;mso-height-percent:0;mso-width-percent:0;mso-height-percent:0" equationxml="&lt;?xml version=&quot;1.0&quot; encoding=&quot;UTF-8&quot; standalone=&quot;yes&quot;?&gt;&#13;&#13;&#13;&#13;&#10;&#13;&#13;&#13;&#13;&#10;&#13;&#13;&#13;&#13;&#10;&#13;&#13;&#13;&#13;&#10;&lt;?mso-application progid=&quot;Word.Document&quot;?&gt;&#13;&#13;&#13;&#13;&#10;&#13;&#13;&#13;&#13;&#10;&#13;&#13;&#13;&#13;&#10;&#13;&#13;&#13;&#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75&quot;/&gt;&lt;w:doNotEmbedSystemFonts/&gt;&lt;w:defaultTabStop w:val=&quot;284&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E7593&quot;/&gt;&lt;wsp:rsid wsp:val=&quot;00002667&quot;/&gt;&lt;wsp:rsid wsp:val=&quot;000134AF&quot;/&gt;&lt;wsp:rsid wsp:val=&quot;00017095&quot;/&gt;&lt;wsp:rsid wsp:val=&quot;000205DC&quot;/&gt;&lt;wsp:rsid wsp:val=&quot;000206B8&quot;/&gt;&lt;wsp:rsid wsp:val=&quot;00023829&quot;/&gt;&lt;wsp:rsid wsp:val=&quot;0002659D&quot;/&gt;&lt;wsp:rsid wsp:val=&quot;00026666&quot;/&gt;&lt;wsp:rsid wsp:val=&quot;0002672E&quot;/&gt;&lt;wsp:rsid wsp:val=&quot;00030F73&quot;/&gt;&lt;wsp:rsid wsp:val=&quot;00032845&quot;/&gt;&lt;wsp:rsid wsp:val=&quot;0003428E&quot;/&gt;&lt;wsp:rsid wsp:val=&quot;00035083&quot;/&gt;&lt;wsp:rsid wsp:val=&quot;00037834&quot;/&gt;&lt;wsp:rsid wsp:val=&quot;00040B3D&quot;/&gt;&lt;wsp:rsid wsp:val=&quot;000417D3&quot;/&gt;&lt;wsp:rsid wsp:val=&quot;00041A81&quot;/&gt;&lt;wsp:rsid wsp:val=&quot;000423EC&quot;/&gt;&lt;wsp:rsid wsp:val=&quot;00042F3C&quot;/&gt;&lt;wsp:rsid wsp:val=&quot;00044331&quot;/&gt;&lt;wsp:rsid wsp:val=&quot;00046CB2&quot;/&gt;&lt;wsp:rsid wsp:val=&quot;00047552&quot;/&gt;&lt;wsp:rsid wsp:val=&quot;000501A0&quot;/&gt;&lt;wsp:rsid wsp:val=&quot;000510B5&quot;/&gt;&lt;wsp:rsid wsp:val=&quot;00051C52&quot;/&gt;&lt;wsp:rsid wsp:val=&quot;00053B8E&quot;/&gt;&lt;wsp:rsid wsp:val=&quot;000540CC&quot;/&gt;&lt;wsp:rsid wsp:val=&quot;00054926&quot;/&gt;&lt;wsp:rsid wsp:val=&quot;00054EFC&quot;/&gt;&lt;wsp:rsid wsp:val=&quot;00055116&quot;/&gt;&lt;wsp:rsid wsp:val=&quot;00060264&quot;/&gt;&lt;wsp:rsid wsp:val=&quot;0006094D&quot;/&gt;&lt;wsp:rsid wsp:val=&quot;0006125F&quot;/&gt;&lt;wsp:rsid wsp:val=&quot;00064A28&quot;/&gt;&lt;wsp:rsid wsp:val=&quot;000659E9&quot;/&gt;&lt;wsp:rsid wsp:val=&quot;000679DE&quot;/&gt;&lt;wsp:rsid wsp:val=&quot;00070C46&quot;/&gt;&lt;wsp:rsid wsp:val=&quot;00071999&quot;/&gt;&lt;wsp:rsid wsp:val=&quot;00071F5C&quot;/&gt;&lt;wsp:rsid wsp:val=&quot;00072100&quot;/&gt;&lt;wsp:rsid wsp:val=&quot;00072E3E&quot;/&gt;&lt;wsp:rsid wsp:val=&quot;000734E5&quot;/&gt;&lt;wsp:rsid wsp:val=&quot;00074462&quot;/&gt;&lt;wsp:rsid wsp:val=&quot;00075F3B&quot;/&gt;&lt;wsp:rsid wsp:val=&quot;0007605B&quot;/&gt;&lt;wsp:rsid wsp:val=&quot;000771E6&quot;/&gt;&lt;wsp:rsid wsp:val=&quot;0008036A&quot;/&gt;&lt;wsp:rsid wsp:val=&quot;00080D79&quot;/&gt;&lt;wsp:rsid wsp:val=&quot;000811D6&quot;/&gt;&lt;wsp:rsid wsp:val=&quot;00082BF1&quot;/&gt;&lt;wsp:rsid wsp:val=&quot;00085F4F&quot;/&gt;&lt;wsp:rsid wsp:val=&quot;000903F1&quot;/&gt;&lt;wsp:rsid wsp:val=&quot;000909B5&quot;/&gt;&lt;wsp:rsid wsp:val=&quot;00093EB6&quot;/&gt;&lt;wsp:rsid wsp:val=&quot;00096F93&quot;/&gt;&lt;wsp:rsid wsp:val=&quot;00096FC8&quot;/&gt;&lt;wsp:rsid wsp:val=&quot;000A1A7C&quot;/&gt;&lt;wsp:rsid wsp:val=&quot;000A4DF3&quot;/&gt;&lt;wsp:rsid wsp:val=&quot;000A55DE&quot;/&gt;&lt;wsp:rsid wsp:val=&quot;000A574D&quot;/&gt;&lt;wsp:rsid wsp:val=&quot;000B3554&quot;/&gt;&lt;wsp:rsid wsp:val=&quot;000B4EED&quot;/&gt;&lt;wsp:rsid wsp:val=&quot;000B6A8B&quot;/&gt;&lt;wsp:rsid wsp:val=&quot;000C03DE&quot;/&gt;&lt;wsp:rsid wsp:val=&quot;000C0AC5&quot;/&gt;&lt;wsp:rsid wsp:val=&quot;000C25AA&quot;/&gt;&lt;wsp:rsid wsp:val=&quot;000C2901&quot;/&gt;&lt;wsp:rsid wsp:val=&quot;000C4360&quot;/&gt;&lt;wsp:rsid wsp:val=&quot;000C6230&quot;/&gt;&lt;wsp:rsid wsp:val=&quot;000D199D&quot;/&gt;&lt;wsp:rsid wsp:val=&quot;000D5916&quot;/&gt;&lt;wsp:rsid wsp:val=&quot;000D648D&quot;/&gt;&lt;wsp:rsid wsp:val=&quot;000D72BF&quot;/&gt;&lt;wsp:rsid wsp:val=&quot;000E1010&quot;/&gt;&lt;wsp:rsid wsp:val=&quot;000E11CA&quot;/&gt;&lt;wsp:rsid wsp:val=&quot;000E1866&quot;/&gt;&lt;wsp:rsid wsp:val=&quot;000E1C79&quot;/&gt;&lt;wsp:rsid wsp:val=&quot;000E2DC4&quot;/&gt;&lt;wsp:rsid wsp:val=&quot;000E45D5&quot;/&gt;&lt;wsp:rsid wsp:val=&quot;000E648A&quot;/&gt;&lt;wsp:rsid wsp:val=&quot;000E651D&quot;/&gt;&lt;wsp:rsid wsp:val=&quot;000F0CC5&quot;/&gt;&lt;wsp:rsid wsp:val=&quot;000F0E8B&quot;/&gt;&lt;wsp:rsid wsp:val=&quot;000F160E&quot;/&gt;&lt;wsp:rsid wsp:val=&quot;000F1F54&quot;/&gt;&lt;wsp:rsid wsp:val=&quot;000F1F71&quot;/&gt;&lt;wsp:rsid wsp:val=&quot;000F269D&quot;/&gt;&lt;wsp:rsid wsp:val=&quot;000F4724&quot;/&gt;&lt;wsp:rsid wsp:val=&quot;000F65BA&quot;/&gt;&lt;wsp:rsid wsp:val=&quot;000F73A3&quot;/&gt;&lt;wsp:rsid wsp:val=&quot;000F7F0F&quot;/&gt;&lt;wsp:rsid wsp:val=&quot;00100AC0&quot;/&gt;&lt;wsp:rsid wsp:val=&quot;00101C1C&quot;/&gt;&lt;wsp:rsid wsp:val=&quot;00101DD2&quot;/&gt;&lt;wsp:rsid wsp:val=&quot;00103026&quot;/&gt;&lt;wsp:rsid wsp:val=&quot;001044E7&quot;/&gt;&lt;wsp:rsid wsp:val=&quot;00105CD0&quot;/&gt;&lt;wsp:rsid wsp:val=&quot;00106352&quot;/&gt;&lt;wsp:rsid wsp:val=&quot;001072D3&quot;/&gt;&lt;wsp:rsid wsp:val=&quot;00110394&quot;/&gt;&lt;wsp:rsid wsp:val=&quot;00110410&quot;/&gt;&lt;wsp:rsid wsp:val=&quot;00112478&quot;/&gt;&lt;wsp:rsid wsp:val=&quot;00113525&quot;/&gt;&lt;wsp:rsid wsp:val=&quot;001145D2&quot;/&gt;&lt;wsp:rsid wsp:val=&quot;00114FA0&quot;/&gt;&lt;wsp:rsid wsp:val=&quot;00116FC0&quot;/&gt;&lt;wsp:rsid wsp:val=&quot;0011774A&quot;/&gt;&lt;wsp:rsid wsp:val=&quot;00117884&quot;/&gt;&lt;wsp:rsid wsp:val=&quot;001201D5&quot;/&gt;&lt;wsp:rsid wsp:val=&quot;00120366&quot;/&gt;&lt;wsp:rsid wsp:val=&quot;001209C8&quot;/&gt;&lt;wsp:rsid wsp:val=&quot;00120F5C&quot;/&gt;&lt;wsp:rsid wsp:val=&quot;0012129A&quot;/&gt;&lt;wsp:rsid wsp:val=&quot;001248BF&quot;/&gt;&lt;wsp:rsid wsp:val=&quot;00125B27&quot;/&gt;&lt;wsp:rsid wsp:val=&quot;00125BB6&quot;/&gt;&lt;wsp:rsid wsp:val=&quot;00125C3E&quot;/&gt;&lt;wsp:rsid wsp:val=&quot;0012730C&quot;/&gt;&lt;wsp:rsid wsp:val=&quot;00127446&quot;/&gt;&lt;wsp:rsid wsp:val=&quot;001277B1&quot;/&gt;&lt;wsp:rsid wsp:val=&quot;00131D52&quot;/&gt;&lt;wsp:rsid wsp:val=&quot;00131D98&quot;/&gt;&lt;wsp:rsid wsp:val=&quot;00132980&quot;/&gt;&lt;wsp:rsid wsp:val=&quot;001352C1&quot;/&gt;&lt;wsp:rsid wsp:val=&quot;00136D34&quot;/&gt;&lt;wsp:rsid wsp:val=&quot;00137032&quot;/&gt;&lt;wsp:rsid wsp:val=&quot;00137084&quot;/&gt;&lt;wsp:rsid wsp:val=&quot;00137E7C&quot;/&gt;&lt;wsp:rsid wsp:val=&quot;0014011B&quot;/&gt;&lt;wsp:rsid wsp:val=&quot;00140B9D&quot;/&gt;&lt;wsp:rsid wsp:val=&quot;00141E2B&quot;/&gt;&lt;wsp:rsid wsp:val=&quot;0014526C&quot;/&gt;&lt;wsp:rsid wsp:val=&quot;00147B38&quot;/&gt;&lt;wsp:rsid wsp:val=&quot;00150CDC&quot;/&gt;&lt;wsp:rsid wsp:val=&quot;00151430&quot;/&gt;&lt;wsp:rsid wsp:val=&quot;00151F61&quot;/&gt;&lt;wsp:rsid wsp:val=&quot;00154C98&quot;/&gt;&lt;wsp:rsid wsp:val=&quot;00154D9D&quot;/&gt;&lt;wsp:rsid wsp:val=&quot;001550F8&quot;/&gt;&lt;wsp:rsid wsp:val=&quot;00155280&quot;/&gt;&lt;wsp:rsid wsp:val=&quot;0015704A&quot;/&gt;&lt;wsp:rsid wsp:val=&quot;00157CCB&quot;/&gt;&lt;wsp:rsid wsp:val=&quot;0016038D&quot;/&gt;&lt;wsp:rsid wsp:val=&quot;00161362&quot;/&gt;&lt;wsp:rsid wsp:val=&quot;00161AFE&quot;/&gt;&lt;wsp:rsid wsp:val=&quot;001627EF&quot;/&gt;&lt;wsp:rsid wsp:val=&quot;00162901&quot;/&gt;&lt;wsp:rsid wsp:val=&quot;001658BE&quot;/&gt;&lt;wsp:rsid wsp:val=&quot;00165947&quot;/&gt;&lt;wsp:rsid wsp:val=&quot;0017334E&quot;/&gt;&lt;wsp:rsid wsp:val=&quot;001771C9&quot;/&gt;&lt;wsp:rsid wsp:val=&quot;00180AB5&quot;/&gt;&lt;wsp:rsid wsp:val=&quot;0018118E&quot;/&gt;&lt;wsp:rsid wsp:val=&quot;00182210&quot;/&gt;&lt;wsp:rsid wsp:val=&quot;00182C8F&quot;/&gt;&lt;wsp:rsid wsp:val=&quot;0018754C&quot;/&gt;&lt;wsp:rsid wsp:val=&quot;00190431&quot;/&gt;&lt;wsp:rsid wsp:val=&quot;00192061&quot;/&gt;&lt;wsp:rsid wsp:val=&quot;00193259&quot;/&gt;&lt;wsp:rsid wsp:val=&quot;0019559C&quot;/&gt;&lt;wsp:rsid wsp:val=&quot;00195E84&quot;/&gt;&lt;wsp:rsid wsp:val=&quot;001A0C17&quot;/&gt;&lt;wsp:rsid wsp:val=&quot;001A6EA6&quot;/&gt;&lt;wsp:rsid wsp:val=&quot;001B4787&quot;/&gt;&lt;wsp:rsid wsp:val=&quot;001B5059&quot;/&gt;&lt;wsp:rsid wsp:val=&quot;001B5255&quot;/&gt;&lt;wsp:rsid wsp:val=&quot;001B5A06&quot;/&gt;&lt;wsp:rsid wsp:val=&quot;001B5EB1&quot;/&gt;&lt;wsp:rsid wsp:val=&quot;001B6462&quot;/&gt;&lt;wsp:rsid wsp:val=&quot;001B6F5E&quot;/&gt;&lt;wsp:rsid wsp:val=&quot;001C03DD&quot;/&gt;&lt;wsp:rsid wsp:val=&quot;001C1677&quot;/&gt;&lt;wsp:rsid wsp:val=&quot;001C3AC4&quot;/&gt;&lt;wsp:rsid wsp:val=&quot;001C3CDB&quot;/&gt;&lt;wsp:rsid wsp:val=&quot;001C6DF6&quot;/&gt;&lt;wsp:rsid wsp:val=&quot;001C6F2F&quot;/&gt;&lt;wsp:rsid wsp:val=&quot;001C7F2B&quot;/&gt;&lt;wsp:rsid wsp:val=&quot;001D07FD&quot;/&gt;&lt;wsp:rsid wsp:val=&quot;001D32EA&quot;/&gt;&lt;wsp:rsid wsp:val=&quot;001D43CD&quot;/&gt;&lt;wsp:rsid wsp:val=&quot;001D502B&quot;/&gt;&lt;wsp:rsid wsp:val=&quot;001D5112&quot;/&gt;&lt;wsp:rsid wsp:val=&quot;001D6710&quot;/&gt;&lt;wsp:rsid wsp:val=&quot;001E0373&quot;/&gt;&lt;wsp:rsid wsp:val=&quot;001E1D8B&quot;/&gt;&lt;wsp:rsid wsp:val=&quot;001E2ECB&quot;/&gt;&lt;wsp:rsid wsp:val=&quot;001E3738&quot;/&gt;&lt;wsp:rsid wsp:val=&quot;001E3B1B&quot;/&gt;&lt;wsp:rsid wsp:val=&quot;001E6293&quot;/&gt;&lt;wsp:rsid wsp:val=&quot;001E7BE2&quot;/&gt;&lt;wsp:rsid wsp:val=&quot;001F2D83&quot;/&gt;&lt;wsp:rsid wsp:val=&quot;001F34DB&quot;/&gt;&lt;wsp:rsid wsp:val=&quot;001F370E&quot;/&gt;&lt;wsp:rsid wsp:val=&quot;001F56CB&quot;/&gt;&lt;wsp:rsid wsp:val=&quot;001F6531&quot;/&gt;&lt;wsp:rsid wsp:val=&quot;001F7823&quot;/&gt;&lt;wsp:rsid wsp:val=&quot;00201368&quot;/&gt;&lt;wsp:rsid wsp:val=&quot;00201962&quot;/&gt;&lt;wsp:rsid wsp:val=&quot;00202352&quot;/&gt;&lt;wsp:rsid wsp:val=&quot;00207116&quot;/&gt;&lt;wsp:rsid wsp:val=&quot;002148E2&quot;/&gt;&lt;wsp:rsid wsp:val=&quot;00215E98&quot;/&gt;&lt;wsp:rsid wsp:val=&quot;00217652&quot;/&gt;&lt;wsp:rsid wsp:val=&quot;00220E62&quot;/&gt;&lt;wsp:rsid wsp:val=&quot;00222AA6&quot;/&gt;&lt;wsp:rsid wsp:val=&quot;00223317&quot;/&gt;&lt;wsp:rsid wsp:val=&quot;00224C8D&quot;/&gt;&lt;wsp:rsid wsp:val=&quot;0022551D&quot;/&gt;&lt;wsp:rsid wsp:val=&quot;002266F5&quot;/&gt;&lt;wsp:rsid wsp:val=&quot;00227DF7&quot;/&gt;&lt;wsp:rsid wsp:val=&quot;00230630&quot;/&gt;&lt;wsp:rsid wsp:val=&quot;00230F61&quot;/&gt;&lt;wsp:rsid wsp:val=&quot;00232301&quot;/&gt;&lt;wsp:rsid wsp:val=&quot;002357B4&quot;/&gt;&lt;wsp:rsid wsp:val=&quot;00237DEA&quot;/&gt;&lt;wsp:rsid wsp:val=&quot;00240C09&quot;/&gt;&lt;wsp:rsid wsp:val=&quot;00240F27&quot;/&gt;&lt;wsp:rsid wsp:val=&quot;00243040&quot;/&gt;&lt;wsp:rsid wsp:val=&quot;00243ACF&quot;/&gt;&lt;wsp:rsid wsp:val=&quot;00243B91&quot;/&gt;&lt;wsp:rsid wsp:val=&quot;00245756&quot;/&gt;&lt;wsp:rsid wsp:val=&quot;00245900&quot;/&gt;&lt;wsp:rsid wsp:val=&quot;0024768C&quot;/&gt;&lt;wsp:rsid wsp:val=&quot;002477D3&quot;/&gt;&lt;wsp:rsid wsp:val=&quot;002504A5&quot;/&gt;&lt;wsp:rsid wsp:val=&quot;00251183&quot;/&gt;&lt;wsp:rsid wsp:val=&quot;00251440&quot;/&gt;&lt;wsp:rsid wsp:val=&quot;00253938&quot;/&gt;&lt;wsp:rsid wsp:val=&quot;00254152&quot;/&gt;&lt;wsp:rsid wsp:val=&quot;00254619&quot;/&gt;&lt;wsp:rsid wsp:val=&quot;00256621&quot;/&gt;&lt;wsp:rsid wsp:val=&quot;00260856&quot;/&gt;&lt;wsp:rsid wsp:val=&quot;0026086B&quot;/&gt;&lt;wsp:rsid wsp:val=&quot;00262A63&quot;/&gt;&lt;wsp:rsid wsp:val=&quot;002631D9&quot;/&gt;&lt;wsp:rsid wsp:val=&quot;00263818&quot;/&gt;&lt;wsp:rsid wsp:val=&quot;0026440F&quot;/&gt;&lt;wsp:rsid wsp:val=&quot;002663EB&quot;/&gt;&lt;wsp:rsid wsp:val=&quot;002728B2&quot;/&gt;&lt;wsp:rsid wsp:val=&quot;002736BE&quot;/&gt;&lt;wsp:rsid wsp:val=&quot;00273937&quot;/&gt;&lt;wsp:rsid wsp:val=&quot;0027404A&quot;/&gt;&lt;wsp:rsid wsp:val=&quot;002747E8&quot;/&gt;&lt;wsp:rsid wsp:val=&quot;00277400&quot;/&gt;&lt;wsp:rsid wsp:val=&quot;0027767F&quot;/&gt;&lt;wsp:rsid wsp:val=&quot;00277DEA&quot;/&gt;&lt;wsp:rsid wsp:val=&quot;0028002C&quot;/&gt;&lt;wsp:rsid wsp:val=&quot;0028125A&quot;/&gt;&lt;wsp:rsid wsp:val=&quot;0028304B&quot;/&gt;&lt;wsp:rsid wsp:val=&quot;00287675&quot;/&gt;&lt;wsp:rsid wsp:val=&quot;00290D83&quot;/&gt;&lt;wsp:rsid wsp:val=&quot;00291033&quot;/&gt;&lt;wsp:rsid wsp:val=&quot;002910B4&quot;/&gt;&lt;wsp:rsid wsp:val=&quot;00292158&quot;/&gt;&lt;wsp:rsid wsp:val=&quot;00292B09&quot;/&gt;&lt;wsp:rsid wsp:val=&quot;0029569E&quot;/&gt;&lt;wsp:rsid wsp:val=&quot;00295D53&quot;/&gt;&lt;wsp:rsid wsp:val=&quot;0029760D&quot;/&gt;&lt;wsp:rsid wsp:val=&quot;002A07BD&quot;/&gt;&lt;wsp:rsid wsp:val=&quot;002A1491&quot;/&gt;&lt;wsp:rsid wsp:val=&quot;002A17B5&quot;/&gt;&lt;wsp:rsid wsp:val=&quot;002A25B6&quot;/&gt;&lt;wsp:rsid wsp:val=&quot;002A4919&quot;/&gt;&lt;wsp:rsid wsp:val=&quot;002A64A2&quot;/&gt;&lt;wsp:rsid wsp:val=&quot;002A6BC9&quot;/&gt;&lt;wsp:rsid wsp:val=&quot;002A6FC6&quot;/&gt;&lt;wsp:rsid wsp:val=&quot;002B01A9&quot;/&gt;&lt;wsp:rsid wsp:val=&quot;002B031C&quot;/&gt;&lt;wsp:rsid wsp:val=&quot;002B06E9&quot;/&gt;&lt;wsp:rsid wsp:val=&quot;002B2250&quot;/&gt;&lt;wsp:rsid wsp:val=&quot;002B53F8&quot;/&gt;&lt;wsp:rsid wsp:val=&quot;002B5E37&quot;/&gt;&lt;wsp:rsid wsp:val=&quot;002B663A&quot;/&gt;&lt;wsp:rsid wsp:val=&quot;002C0072&quot;/&gt;&lt;wsp:rsid wsp:val=&quot;002C00F1&quot;/&gt;&lt;wsp:rsid wsp:val=&quot;002C2345&quot;/&gt;&lt;wsp:rsid wsp:val=&quot;002C30BC&quot;/&gt;&lt;wsp:rsid wsp:val=&quot;002C75A5&quot;/&gt;&lt;wsp:rsid wsp:val=&quot;002C7664&quot;/&gt;&lt;wsp:rsid wsp:val=&quot;002D0D5C&quot;/&gt;&lt;wsp:rsid wsp:val=&quot;002D0F77&quot;/&gt;&lt;wsp:rsid wsp:val=&quot;002D1BC3&quot;/&gt;&lt;wsp:rsid wsp:val=&quot;002D2035&quot;/&gt;&lt;wsp:rsid wsp:val=&quot;002D379C&quot;/&gt;&lt;wsp:rsid wsp:val=&quot;002D3BDA&quot;/&gt;&lt;wsp:rsid wsp:val=&quot;002D3CFB&quot;/&gt;&lt;wsp:rsid wsp:val=&quot;002D4643&quot;/&gt;&lt;wsp:rsid wsp:val=&quot;002D767E&quot;/&gt;&lt;wsp:rsid wsp:val=&quot;002E408B&quot;/&gt;&lt;wsp:rsid wsp:val=&quot;002E6206&quot;/&gt;&lt;wsp:rsid wsp:val=&quot;002E7BDB&quot;/&gt;&lt;wsp:rsid wsp:val=&quot;002F1DD0&quot;/&gt;&lt;wsp:rsid wsp:val=&quot;002F1E7E&quot;/&gt;&lt;wsp:rsid wsp:val=&quot;002F21C7&quot;/&gt;&lt;wsp:rsid wsp:val=&quot;002F3C41&quot;/&gt;&lt;wsp:rsid wsp:val=&quot;002F4361&quot;/&gt;&lt;wsp:rsid wsp:val=&quot;002F4AC7&quot;/&gt;&lt;wsp:rsid wsp:val=&quot;002F5E34&quot;/&gt;&lt;wsp:rsid wsp:val=&quot;00304CF1&quot;/&gt;&lt;wsp:rsid wsp:val=&quot;00304F3A&quot;/&gt;&lt;wsp:rsid wsp:val=&quot;003058C5&quot;/&gt;&lt;wsp:rsid wsp:val=&quot;003059B3&quot;/&gt;&lt;wsp:rsid wsp:val=&quot;00307980&quot;/&gt;&lt;wsp:rsid wsp:val=&quot;003119CC&quot;/&gt;&lt;wsp:rsid wsp:val=&quot;003147C3&quot;/&gt;&lt;wsp:rsid wsp:val=&quot;0031546D&quot;/&gt;&lt;wsp:rsid wsp:val=&quot;0031729F&quot;/&gt;&lt;wsp:rsid wsp:val=&quot;00317303&quot;/&gt;&lt;wsp:rsid wsp:val=&quot;00317879&quot;/&gt;&lt;wsp:rsid wsp:val=&quot;00320296&quot;/&gt;&lt;wsp:rsid wsp:val=&quot;00320CF6&quot;/&gt;&lt;wsp:rsid wsp:val=&quot;003215A6&quot;/&gt;&lt;wsp:rsid wsp:val=&quot;00321ED7&quot;/&gt;&lt;wsp:rsid wsp:val=&quot;00323572&quot;/&gt;&lt;wsp:rsid wsp:val=&quot;00323667&quot;/&gt;&lt;wsp:rsid wsp:val=&quot;00323D14&quot;/&gt;&lt;wsp:rsid wsp:val=&quot;0033139B&quot;/&gt;&lt;wsp:rsid wsp:val=&quot;00331EDC&quot;/&gt;&lt;wsp:rsid wsp:val=&quot;0033289F&quot;/&gt;&lt;wsp:rsid wsp:val=&quot;00333416&quot;/&gt;&lt;wsp:rsid wsp:val=&quot;00334228&quot;/&gt;&lt;wsp:rsid wsp:val=&quot;00334C4B&quot;/&gt;&lt;wsp:rsid wsp:val=&quot;003419B7&quot;/&gt;&lt;wsp:rsid wsp:val=&quot;00341E8B&quot;/&gt;&lt;wsp:rsid wsp:val=&quot;0035024E&quot;/&gt;&lt;wsp:rsid wsp:val=&quot;00351635&quot;/&gt;&lt;wsp:rsid wsp:val=&quot;0035175F&quot;/&gt;&lt;wsp:rsid wsp:val=&quot;003536BD&quot;/&gt;&lt;wsp:rsid wsp:val=&quot;003547CF&quot;/&gt;&lt;wsp:rsid wsp:val=&quot;003554C4&quot;/&gt;&lt;wsp:rsid wsp:val=&quot;0035723A&quot;/&gt;&lt;wsp:rsid wsp:val=&quot;00357339&quot;/&gt;&lt;wsp:rsid wsp:val=&quot;00357E41&quot;/&gt;&lt;wsp:rsid wsp:val=&quot;00360AA1&quot;/&gt;&lt;wsp:rsid wsp:val=&quot;00362144&quot;/&gt;&lt;wsp:rsid wsp:val=&quot;003621B1&quot;/&gt;&lt;wsp:rsid wsp:val=&quot;00363305&quot;/&gt;&lt;wsp:rsid wsp:val=&quot;00363C54&quot;/&gt;&lt;wsp:rsid wsp:val=&quot;00366665&quot;/&gt;&lt;wsp:rsid wsp:val=&quot;00366747&quot;/&gt;&lt;wsp:rsid wsp:val=&quot;00367185&quot;/&gt;&lt;wsp:rsid wsp:val=&quot;0037351F&quot;/&gt;&lt;wsp:rsid wsp:val=&quot;003739B2&quot;/&gt;&lt;wsp:rsid wsp:val=&quot;003762E3&quot;/&gt;&lt;wsp:rsid wsp:val=&quot;00376BFB&quot;/&gt;&lt;wsp:rsid wsp:val=&quot;00376E43&quot;/&gt;&lt;wsp:rsid wsp:val=&quot;003778BC&quot;/&gt;&lt;wsp:rsid wsp:val=&quot;00381DC6&quot;/&gt;&lt;wsp:rsid wsp:val=&quot;00383C69&quot;/&gt;&lt;wsp:rsid wsp:val=&quot;00384D66&quot;/&gt;&lt;wsp:rsid wsp:val=&quot;00391544&quot;/&gt;&lt;wsp:rsid wsp:val=&quot;00392944&quot;/&gt;&lt;wsp:rsid wsp:val=&quot;00392B0E&quot;/&gt;&lt;wsp:rsid wsp:val=&quot;003941D3&quot;/&gt;&lt;wsp:rsid wsp:val=&quot;00394B3D&quot;/&gt;&lt;wsp:rsid wsp:val=&quot;00395505&quot;/&gt;&lt;wsp:rsid wsp:val=&quot;00396F19&quot;/&gt;&lt;wsp:rsid wsp:val=&quot;003A10DD&quot;/&gt;&lt;wsp:rsid wsp:val=&quot;003A23BF&quot;/&gt;&lt;wsp:rsid wsp:val=&quot;003A33D5&quot;/&gt;&lt;wsp:rsid wsp:val=&quot;003A3A79&quot;/&gt;&lt;wsp:rsid wsp:val=&quot;003A4986&quot;/&gt;&lt;wsp:rsid wsp:val=&quot;003A4E7C&quot;/&gt;&lt;wsp:rsid wsp:val=&quot;003A5B1A&quot;/&gt;&lt;wsp:rsid wsp:val=&quot;003A6774&quot;/&gt;&lt;wsp:rsid wsp:val=&quot;003A769E&quot;/&gt;&lt;wsp:rsid wsp:val=&quot;003B0651&quot;/&gt;&lt;wsp:rsid wsp:val=&quot;003B13EF&quot;/&gt;&lt;wsp:rsid wsp:val=&quot;003B1DE3&quot;/&gt;&lt;wsp:rsid wsp:val=&quot;003B5353&quot;/&gt;&lt;wsp:rsid wsp:val=&quot;003B540D&quot;/&gt;&lt;wsp:rsid wsp:val=&quot;003B61C6&quot;/&gt;&lt;wsp:rsid wsp:val=&quot;003B7001&quot;/&gt;&lt;wsp:rsid wsp:val=&quot;003C091A&quot;/&gt;&lt;wsp:rsid wsp:val=&quot;003C0B1E&quot;/&gt;&lt;wsp:rsid wsp:val=&quot;003C0C59&quot;/&gt;&lt;wsp:rsid wsp:val=&quot;003C0E60&quot;/&gt;&lt;wsp:rsid wsp:val=&quot;003C15CE&quot;/&gt;&lt;wsp:rsid wsp:val=&quot;003C1FF2&quot;/&gt;&lt;wsp:rsid wsp:val=&quot;003C25F8&quot;/&gt;&lt;wsp:rsid wsp:val=&quot;003C73B9&quot;/&gt;&lt;wsp:rsid wsp:val=&quot;003D1811&quot;/&gt;&lt;wsp:rsid wsp:val=&quot;003D2F76&quot;/&gt;&lt;wsp:rsid wsp:val=&quot;003D2FF8&quot;/&gt;&lt;wsp:rsid wsp:val=&quot;003D3E3B&quot;/&gt;&lt;wsp:rsid wsp:val=&quot;003D73B4&quot;/&gt;&lt;wsp:rsid wsp:val=&quot;003D7E1B&quot;/&gt;&lt;wsp:rsid wsp:val=&quot;003E2294&quot;/&gt;&lt;wsp:rsid wsp:val=&quot;003E239E&quot;/&gt;&lt;wsp:rsid wsp:val=&quot;003E2739&quot;/&gt;&lt;wsp:rsid wsp:val=&quot;003E3B1D&quot;/&gt;&lt;wsp:rsid wsp:val=&quot;003E3F9C&quot;/&gt;&lt;wsp:rsid wsp:val=&quot;003E4F7A&quot;/&gt;&lt;wsp:rsid wsp:val=&quot;003E6945&quot;/&gt;&lt;wsp:rsid wsp:val=&quot;003E71D4&quot;/&gt;&lt;wsp:rsid wsp:val=&quot;003F1CFD&quot;/&gt;&lt;wsp:rsid wsp:val=&quot;003F30E4&quot;/&gt;&lt;wsp:rsid wsp:val=&quot;003F3C43&quot;/&gt;&lt;wsp:rsid wsp:val=&quot;003F56F7&quot;/&gt;&lt;wsp:rsid wsp:val=&quot;003F58ED&quot;/&gt;&lt;wsp:rsid wsp:val=&quot;0040184E&quot;/&gt;&lt;wsp:rsid wsp:val=&quot;00401D4F&quot;/&gt;&lt;wsp:rsid wsp:val=&quot;00403343&quot;/&gt;&lt;wsp:rsid wsp:val=&quot;004045F6&quot;/&gt;&lt;wsp:rsid wsp:val=&quot;00404A4E&quot;/&gt;&lt;wsp:rsid wsp:val=&quot;00406A94&quot;/&gt;&lt;wsp:rsid wsp:val=&quot;00407054&quot;/&gt;&lt;wsp:rsid wsp:val=&quot;00407EA6&quot;/&gt;&lt;wsp:rsid wsp:val=&quot;00407F5B&quot;/&gt;&lt;wsp:rsid wsp:val=&quot;00413587&quot;/&gt;&lt;wsp:rsid wsp:val=&quot;00414EE0&quot;/&gt;&lt;wsp:rsid wsp:val=&quot;00415A5B&quot;/&gt;&lt;wsp:rsid wsp:val=&quot;00425097&quot;/&gt;&lt;wsp:rsid wsp:val=&quot;0042655F&quot;/&gt;&lt;wsp:rsid wsp:val=&quot;00427C47&quot;/&gt;&lt;wsp:rsid wsp:val=&quot;004309E7&quot;/&gt;&lt;wsp:rsid wsp:val=&quot;00430BDF&quot;/&gt;&lt;wsp:rsid wsp:val=&quot;004313FD&quot;/&gt;&lt;wsp:rsid wsp:val=&quot;00432670&quot;/&gt;&lt;wsp:rsid wsp:val=&quot;004347A8&quot;/&gt;&lt;wsp:rsid wsp:val=&quot;00434EF6&quot;/&gt;&lt;wsp:rsid wsp:val=&quot;004407C2&quot;/&gt;&lt;wsp:rsid wsp:val=&quot;00440971&quot;/&gt;&lt;wsp:rsid wsp:val=&quot;00441378&quot;/&gt;&lt;wsp:rsid wsp:val=&quot;004417B0&quot;/&gt;&lt;wsp:rsid wsp:val=&quot;004425D4&quot;/&gt;&lt;wsp:rsid wsp:val=&quot;00443E5B&quot;/&gt;&lt;wsp:rsid wsp:val=&quot;004470CB&quot;/&gt;&lt;wsp:rsid wsp:val=&quot;0045144A&quot;/&gt;&lt;wsp:rsid wsp:val=&quot;00453B09&quot;/&gt;&lt;wsp:rsid wsp:val=&quot;00454DDA&quot;/&gt;&lt;wsp:rsid wsp:val=&quot;00455678&quot;/&gt;&lt;wsp:rsid wsp:val=&quot;00456710&quot;/&gt;&lt;wsp:rsid wsp:val=&quot;00456C56&quot;/&gt;&lt;wsp:rsid wsp:val=&quot;004627F3&quot;/&gt;&lt;wsp:rsid wsp:val=&quot;0046483B&quot;/&gt;&lt;wsp:rsid wsp:val=&quot;00465026&quot;/&gt;&lt;wsp:rsid wsp:val=&quot;00467B0D&quot;/&gt;&lt;wsp:rsid wsp:val=&quot;0047068B&quot;/&gt;&lt;wsp:rsid wsp:val=&quot;00472E95&quot;/&gt;&lt;wsp:rsid wsp:val=&quot;0047477B&quot;/&gt;&lt;wsp:rsid wsp:val=&quot;004841DC&quot;/&gt;&lt;wsp:rsid wsp:val=&quot;00484B67&quot;/&gt;&lt;wsp:rsid wsp:val=&quot;00485C26&quot;/&gt;&lt;wsp:rsid wsp:val=&quot;00485CD4&quot;/&gt;&lt;wsp:rsid wsp:val=&quot;00486B3D&quot;/&gt;&lt;wsp:rsid wsp:val=&quot;00490715&quot;/&gt;&lt;wsp:rsid wsp:val=&quot;00494BF0&quot;/&gt;&lt;wsp:rsid wsp:val=&quot;00494CF7&quot;/&gt;&lt;wsp:rsid wsp:val=&quot;00497960&quot;/&gt;&lt;wsp:rsid wsp:val=&quot;004A17C3&quot;/&gt;&lt;wsp:rsid wsp:val=&quot;004A184F&quot;/&gt;&lt;wsp:rsid wsp:val=&quot;004A1B60&quot;/&gt;&lt;wsp:rsid wsp:val=&quot;004A2F54&quot;/&gt;&lt;wsp:rsid wsp:val=&quot;004A3B16&quot;/&gt;&lt;wsp:rsid wsp:val=&quot;004A3C14&quot;/&gt;&lt;wsp:rsid wsp:val=&quot;004A4013&quot;/&gt;&lt;wsp:rsid wsp:val=&quot;004A4C50&quot;/&gt;&lt;wsp:rsid wsp:val=&quot;004A5738&quot;/&gt;&lt;wsp:rsid wsp:val=&quot;004B047D&quot;/&gt;&lt;wsp:rsid wsp:val=&quot;004B1053&quot;/&gt;&lt;wsp:rsid wsp:val=&quot;004B148B&quot;/&gt;&lt;wsp:rsid wsp:val=&quot;004B4891&quot;/&gt;&lt;wsp:rsid wsp:val=&quot;004B59D5&quot;/&gt;&lt;wsp:rsid wsp:val=&quot;004B59DF&quot;/&gt;&lt;wsp:rsid wsp:val=&quot;004B638B&quot;/&gt;&lt;wsp:rsid wsp:val=&quot;004B72C5&quot;/&gt;&lt;wsp:rsid wsp:val=&quot;004B7903&quot;/&gt;&lt;wsp:rsid wsp:val=&quot;004C1A8D&quot;/&gt;&lt;wsp:rsid wsp:val=&quot;004C393D&quot;/&gt;&lt;wsp:rsid wsp:val=&quot;004C5931&quot;/&gt;&lt;wsp:rsid wsp:val=&quot;004C7318&quot;/&gt;&lt;wsp:rsid wsp:val=&quot;004D0838&quot;/&gt;&lt;wsp:rsid wsp:val=&quot;004D1C52&quot;/&gt;&lt;wsp:rsid wsp:val=&quot;004D3890&quot;/&gt;&lt;wsp:rsid wsp:val=&quot;004D4D9A&quot;/&gt;&lt;wsp:rsid wsp:val=&quot;004D5034&quot;/&gt;&lt;wsp:rsid wsp:val=&quot;004D5240&quot;/&gt;&lt;wsp:rsid wsp:val=&quot;004D5417&quot;/&gt;&lt;wsp:rsid wsp:val=&quot;004D5526&quot;/&gt;&lt;wsp:rsid wsp:val=&quot;004E1E6E&quot;/&gt;&lt;wsp:rsid wsp:val=&quot;004E5E05&quot;/&gt;&lt;wsp:rsid wsp:val=&quot;004E63B0&quot;/&gt;&lt;wsp:rsid wsp:val=&quot;004E68EE&quot;/&gt;&lt;wsp:rsid wsp:val=&quot;004E714C&quot;/&gt;&lt;wsp:rsid wsp:val=&quot;004F0043&quot;/&gt;&lt;wsp:rsid wsp:val=&quot;004F17BE&quot;/&gt;&lt;wsp:rsid wsp:val=&quot;004F19C8&quot;/&gt;&lt;wsp:rsid wsp:val=&quot;004F1BE4&quot;/&gt;&lt;wsp:rsid wsp:val=&quot;004F2A6F&quot;/&gt;&lt;wsp:rsid wsp:val=&quot;004F4888&quot;/&gt;&lt;wsp:rsid wsp:val=&quot;00504DB1&quot;/&gt;&lt;wsp:rsid wsp:val=&quot;00505EEA&quot;/&gt;&lt;wsp:rsid wsp:val=&quot;00506927&quot;/&gt;&lt;wsp:rsid wsp:val=&quot;00511459&quot;/&gt;&lt;wsp:rsid wsp:val=&quot;00512042&quot;/&gt;&lt;wsp:rsid wsp:val=&quot;0051269B&quot;/&gt;&lt;wsp:rsid wsp:val=&quot;00514B22&quot;/&gt;&lt;wsp:rsid wsp:val=&quot;00515711&quot;/&gt;&lt;wsp:rsid wsp:val=&quot;005164F4&quot;/&gt;&lt;wsp:rsid wsp:val=&quot;00516A42&quot;/&gt;&lt;wsp:rsid wsp:val=&quot;0051746A&quot;/&gt;&lt;wsp:rsid wsp:val=&quot;00520535&quot;/&gt;&lt;wsp:rsid wsp:val=&quot;00520BF7&quot;/&gt;&lt;wsp:rsid wsp:val=&quot;00520D54&quot;/&gt;&lt;wsp:rsid wsp:val=&quot;005239DA&quot;/&gt;&lt;wsp:rsid wsp:val=&quot;0052425B&quot;/&gt;&lt;wsp:rsid wsp:val=&quot;00525108&quot;/&gt;&lt;wsp:rsid wsp:val=&quot;005258FF&quot;/&gt;&lt;wsp:rsid wsp:val=&quot;00525D14&quot;/&gt;&lt;wsp:rsid wsp:val=&quot;00531796&quot;/&gt;&lt;wsp:rsid wsp:val=&quot;0053230B&quot;/&gt;&lt;wsp:rsid wsp:val=&quot;00533060&quot;/&gt;&lt;wsp:rsid wsp:val=&quot;0053401D&quot;/&gt;&lt;wsp:rsid wsp:val=&quot;00535ED8&quot;/&gt;&lt;wsp:rsid wsp:val=&quot;00537207&quot;/&gt;&lt;wsp:rsid wsp:val=&quot;00540E6B&quot;/&gt;&lt;wsp:rsid wsp:val=&quot;0054127A&quot;/&gt;&lt;wsp:rsid wsp:val=&quot;0054320B&quot;/&gt;&lt;wsp:rsid wsp:val=&quot;00544466&quot;/&gt;&lt;wsp:rsid wsp:val=&quot;005464AD&quot;/&gt;&lt;wsp:rsid wsp:val=&quot;0054792C&quot;/&gt;&lt;wsp:rsid wsp:val=&quot;00547DD1&quot;/&gt;&lt;wsp:rsid wsp:val=&quot;0055112C&quot;/&gt;&lt;wsp:rsid wsp:val=&quot;00552A81&quot;/&gt;&lt;wsp:rsid wsp:val=&quot;005535EA&quot;/&gt;&lt;wsp:rsid wsp:val=&quot;005541F6&quot;/&gt;&lt;wsp:rsid wsp:val=&quot;00554C1E&quot;/&gt;&lt;wsp:rsid wsp:val=&quot;005555B2&quot;/&gt;&lt;wsp:rsid wsp:val=&quot;0055564D&quot;/&gt;&lt;wsp:rsid wsp:val=&quot;005607F4&quot;/&gt;&lt;wsp:rsid wsp:val=&quot;005643A7&quot;/&gt;&lt;wsp:rsid wsp:val=&quot;00564C00&quot;/&gt;&lt;wsp:rsid wsp:val=&quot;00564CF2&quot;/&gt;&lt;wsp:rsid wsp:val=&quot;00564D0A&quot;/&gt;&lt;wsp:rsid wsp:val=&quot;00565DAE&quot;/&gt;&lt;wsp:rsid wsp:val=&quot;00567AD6&quot;/&gt;&lt;wsp:rsid wsp:val=&quot;00570C01&quot;/&gt;&lt;wsp:rsid wsp:val=&quot;00570DAF&quot;/&gt;&lt;wsp:rsid wsp:val=&quot;00571252&quot;/&gt;&lt;wsp:rsid wsp:val=&quot;00571B74&quot;/&gt;&lt;wsp:rsid wsp:val=&quot;00571FD9&quot;/&gt;&lt;wsp:rsid wsp:val=&quot;0057229C&quot;/&gt;&lt;wsp:rsid wsp:val=&quot;00573C29&quot;/&gt;&lt;wsp:rsid wsp:val=&quot;005761AF&quot;/&gt;&lt;wsp:rsid wsp:val=&quot;00576625&quot;/&gt;&lt;wsp:rsid wsp:val=&quot;0057731B&quot;/&gt;&lt;wsp:rsid wsp:val=&quot;00581BB0&quot;/&gt;&lt;wsp:rsid wsp:val=&quot;005838C6&quot;/&gt;&lt;wsp:rsid wsp:val=&quot;00583FAF&quot;/&gt;&lt;wsp:rsid wsp:val=&quot;00585D67&quot;/&gt;&lt;wsp:rsid wsp:val=&quot;00586B6F&quot;/&gt;&lt;wsp:rsid wsp:val=&quot;00586F19&quot;/&gt;&lt;wsp:rsid wsp:val=&quot;00587230&quot;/&gt;&lt;wsp:rsid wsp:val=&quot;00587455&quot;/&gt;&lt;wsp:rsid wsp:val=&quot;00590FA6&quot;/&gt;&lt;wsp:rsid wsp:val=&quot;0059152C&quot;/&gt;&lt;wsp:rsid wsp:val=&quot;00591BA7&quot;/&gt;&lt;wsp:rsid wsp:val=&quot;00591C7B&quot;/&gt;&lt;wsp:rsid wsp:val=&quot;0059241F&quot;/&gt;&lt;wsp:rsid wsp:val=&quot;0059242C&quot;/&gt;&lt;wsp:rsid wsp:val=&quot;00592C89&quot;/&gt;&lt;wsp:rsid wsp:val=&quot;00593F1C&quot;/&gt;&lt;wsp:rsid wsp:val=&quot;005964CD&quot;/&gt;&lt;wsp:rsid wsp:val=&quot;00597A0A&quot;/&gt;&lt;wsp:rsid wsp:val=&quot;005A0EEC&quot;/&gt;&lt;wsp:rsid wsp:val=&quot;005A1658&quot;/&gt;&lt;wsp:rsid wsp:val=&quot;005A4A02&quot;/&gt;&lt;wsp:rsid wsp:val=&quot;005A66E8&quot;/&gt;&lt;wsp:rsid wsp:val=&quot;005A6C8E&quot;/&gt;&lt;wsp:rsid wsp:val=&quot;005A7277&quot;/&gt;&lt;wsp:rsid wsp:val=&quot;005A7BED&quot;/&gt;&lt;wsp:rsid wsp:val=&quot;005B14AF&quot;/&gt;&lt;wsp:rsid wsp:val=&quot;005B3AB2&quot;/&gt;&lt;wsp:rsid wsp:val=&quot;005B3D1A&quot;/&gt;&lt;wsp:rsid wsp:val=&quot;005B41DF&quot;/&gt;&lt;wsp:rsid wsp:val=&quot;005B487F&quot;/&gt;&lt;wsp:rsid wsp:val=&quot;005B49A9&quot;/&gt;&lt;wsp:rsid wsp:val=&quot;005B4B4A&quot;/&gt;&lt;wsp:rsid wsp:val=&quot;005C14B6&quot;/&gt;&lt;wsp:rsid wsp:val=&quot;005C15DC&quot;/&gt;&lt;wsp:rsid wsp:val=&quot;005C265F&quot;/&gt;&lt;wsp:rsid wsp:val=&quot;005C3128&quot;/&gt;&lt;wsp:rsid wsp:val=&quot;005C35F0&quot;/&gt;&lt;wsp:rsid wsp:val=&quot;005C3FA9&quot;/&gt;&lt;wsp:rsid wsp:val=&quot;005C5C72&quot;/&gt;&lt;wsp:rsid wsp:val=&quot;005C62BE&quot;/&gt;&lt;wsp:rsid wsp:val=&quot;005C6BED&quot;/&gt;&lt;wsp:rsid wsp:val=&quot;005C71CD&quot;/&gt;&lt;wsp:rsid wsp:val=&quot;005C7E8F&quot;/&gt;&lt;wsp:rsid wsp:val=&quot;005D0637&quot;/&gt;&lt;wsp:rsid wsp:val=&quot;005D1DFA&quot;/&gt;&lt;wsp:rsid wsp:val=&quot;005D2DE1&quot;/&gt;&lt;wsp:rsid wsp:val=&quot;005D302D&quot;/&gt;&lt;wsp:rsid wsp:val=&quot;005D52A9&quot;/&gt;&lt;wsp:rsid wsp:val=&quot;005D5ABA&quot;/&gt;&lt;wsp:rsid wsp:val=&quot;005E078D&quot;/&gt;&lt;wsp:rsid wsp:val=&quot;005E1CED&quot;/&gt;&lt;wsp:rsid wsp:val=&quot;005E21EF&quot;/&gt;&lt;wsp:rsid wsp:val=&quot;005E2FA1&quot;/&gt;&lt;wsp:rsid wsp:val=&quot;005E64A4&quot;/&gt;&lt;wsp:rsid wsp:val=&quot;005E6504&quot;/&gt;&lt;wsp:rsid wsp:val=&quot;005E722C&quot;/&gt;&lt;wsp:rsid wsp:val=&quot;005F18B2&quot;/&gt;&lt;wsp:rsid wsp:val=&quot;005F20AC&quot;/&gt;&lt;wsp:rsid wsp:val=&quot;005F28C9&quot;/&gt;&lt;wsp:rsid wsp:val=&quot;005F5669&quot;/&gt;&lt;wsp:rsid wsp:val=&quot;005F66B8&quot;/&gt;&lt;wsp:rsid wsp:val=&quot;005F71F9&quot;/&gt;&lt;wsp:rsid wsp:val=&quot;005F7382&quot;/&gt;&lt;wsp:rsid wsp:val=&quot;00600723&quot;/&gt;&lt;wsp:rsid wsp:val=&quot;00600B20&quot;/&gt;&lt;wsp:rsid wsp:val=&quot;00601036&quot;/&gt;&lt;wsp:rsid wsp:val=&quot;00602820&quot;/&gt;&lt;wsp:rsid wsp:val=&quot;00602980&quot;/&gt;&lt;wsp:rsid wsp:val=&quot;00603242&quot;/&gt;&lt;wsp:rsid wsp:val=&quot;0060382C&quot;/&gt;&lt;wsp:rsid wsp:val=&quot;00604918&quot;/&gt;&lt;wsp:rsid wsp:val=&quot;00605C13&quot;/&gt;&lt;wsp:rsid wsp:val=&quot;00607DA6&quot;/&gt;&lt;wsp:rsid wsp:val=&quot;00611DE7&quot;/&gt;&lt;wsp:rsid wsp:val=&quot;00612153&quot;/&gt;&lt;wsp:rsid wsp:val=&quot;006126A2&quot;/&gt;&lt;wsp:rsid wsp:val=&quot;00612B14&quot;/&gt;&lt;wsp:rsid wsp:val=&quot;00612BB8&quot;/&gt;&lt;wsp:rsid wsp:val=&quot;006135ED&quot;/&gt;&lt;wsp:rsid wsp:val=&quot;00613AFB&quot;/&gt;&lt;wsp:rsid wsp:val=&quot;006209DD&quot;/&gt;&lt;wsp:rsid wsp:val=&quot;00623112&quot;/&gt;&lt;wsp:rsid wsp:val=&quot;006242CC&quot;/&gt;&lt;wsp:rsid wsp:val=&quot;00625906&quot;/&gt;&lt;wsp:rsid wsp:val=&quot;006267CF&quot;/&gt;&lt;wsp:rsid wsp:val=&quot;006273B2&quot;/&gt;&lt;wsp:rsid wsp:val=&quot;0063218E&quot;/&gt;&lt;wsp:rsid wsp:val=&quot;006326EA&quot;/&gt;&lt;wsp:rsid wsp:val=&quot;00634A8A&quot;/&gt;&lt;wsp:rsid wsp:val=&quot;00634DBD&quot;/&gt;&lt;wsp:rsid wsp:val=&quot;00635178&quot;/&gt;&lt;wsp:rsid wsp:val=&quot;0063751D&quot;/&gt;&lt;wsp:rsid wsp:val=&quot;00637F48&quot;/&gt;&lt;wsp:rsid wsp:val=&quot;006408D3&quot;/&gt;&lt;wsp:rsid wsp:val=&quot;0064322F&quot;/&gt;&lt;wsp:rsid wsp:val=&quot;006434D3&quot;/&gt;&lt;wsp:rsid wsp:val=&quot;006454A4&quot;/&gt;&lt;wsp:rsid wsp:val=&quot;00645533&quot;/&gt;&lt;wsp:rsid wsp:val=&quot;00646492&quot;/&gt;&lt;wsp:rsid wsp:val=&quot;00646810&quot;/&gt;&lt;wsp:rsid wsp:val=&quot;00647437&quot;/&gt;&lt;wsp:rsid wsp:val=&quot;00651B86&quot;/&gt;&lt;wsp:rsid wsp:val=&quot;0065220A&quot;/&gt;&lt;wsp:rsid wsp:val=&quot;00653660&quot;/&gt;&lt;wsp:rsid wsp:val=&quot;006536A3&quot;/&gt;&lt;wsp:rsid wsp:val=&quot;00653D0C&quot;/&gt;&lt;wsp:rsid wsp:val=&quot;00654A08&quot;/&gt;&lt;wsp:rsid wsp:val=&quot;00655005&quot;/&gt;&lt;wsp:rsid wsp:val=&quot;00655648&quot;/&gt;&lt;wsp:rsid wsp:val=&quot;00655D23&quot;/&gt;&lt;wsp:rsid wsp:val=&quot;00656AB7&quot;/&gt;&lt;wsp:rsid wsp:val=&quot;00656EBC&quot;/&gt;&lt;wsp:rsid wsp:val=&quot;006571B4&quot;/&gt;&lt;wsp:rsid wsp:val=&quot;006573A6&quot;/&gt;&lt;wsp:rsid wsp:val=&quot;00657D5B&quot;/&gt;&lt;wsp:rsid wsp:val=&quot;006607A2&quot;/&gt;&lt;wsp:rsid wsp:val=&quot;00660F83&quot;/&gt;&lt;wsp:rsid wsp:val=&quot;006625AD&quot;/&gt;&lt;wsp:rsid wsp:val=&quot;00663DFA&quot;/&gt;&lt;wsp:rsid wsp:val=&quot;006676E7&quot;/&gt;&lt;wsp:rsid wsp:val=&quot;006701AC&quot;/&gt;&lt;wsp:rsid wsp:val=&quot;00671159&quot;/&gt;&lt;wsp:rsid wsp:val=&quot;00671EAE&quot;/&gt;&lt;wsp:rsid wsp:val=&quot;0067216F&quot;/&gt;&lt;wsp:rsid wsp:val=&quot;00673E7C&quot;/&gt;&lt;wsp:rsid wsp:val=&quot;00677136&quot;/&gt;&lt;wsp:rsid wsp:val=&quot;0067757A&quot;/&gt;&lt;wsp:rsid wsp:val=&quot;00677B5A&quot;/&gt;&lt;wsp:rsid wsp:val=&quot;006804B5&quot;/&gt;&lt;wsp:rsid wsp:val=&quot;00680931&quot;/&gt;&lt;wsp:rsid wsp:val=&quot;006812E9&quot;/&gt;&lt;wsp:rsid wsp:val=&quot;006813FA&quot;/&gt;&lt;wsp:rsid wsp:val=&quot;00682891&quot;/&gt;&lt;wsp:rsid wsp:val=&quot;006830F2&quot;/&gt;&lt;wsp:rsid wsp:val=&quot;00683DE8&quot;/&gt;&lt;wsp:rsid wsp:val=&quot;0068525E&quot;/&gt;&lt;wsp:rsid wsp:val=&quot;00686869&quot;/&gt;&lt;wsp:rsid wsp:val=&quot;00686B25&quot;/&gt;&lt;wsp:rsid wsp:val=&quot;00686D8F&quot;/&gt;&lt;wsp:rsid wsp:val=&quot;00687899&quot;/&gt;&lt;wsp:rsid wsp:val=&quot;00691782&quot;/&gt;&lt;wsp:rsid wsp:val=&quot;00692623&quot;/&gt;&lt;wsp:rsid wsp:val=&quot;00692D61&quot;/&gt;&lt;wsp:rsid wsp:val=&quot;006939E3&quot;/&gt;&lt;wsp:rsid wsp:val=&quot;00694A5E&quot;/&gt;&lt;wsp:rsid wsp:val=&quot;00695EAB&quot;/&gt;&lt;wsp:rsid wsp:val=&quot;00696291&quot;/&gt;&lt;wsp:rsid wsp:val=&quot;006A021E&quot;/&gt;&lt;wsp:rsid wsp:val=&quot;006A483A&quot;/&gt;&lt;wsp:rsid wsp:val=&quot;006A5223&quot;/&gt;&lt;wsp:rsid wsp:val=&quot;006A68C9&quot;/&gt;&lt;wsp:rsid wsp:val=&quot;006B09CE&quot;/&gt;&lt;wsp:rsid wsp:val=&quot;006B2BE5&quot;/&gt;&lt;wsp:rsid wsp:val=&quot;006B3B1B&quot;/&gt;&lt;wsp:rsid wsp:val=&quot;006B3B82&quot;/&gt;&lt;wsp:rsid wsp:val=&quot;006B3C13&quot;/&gt;&lt;wsp:rsid wsp:val=&quot;006B4BE0&quot;/&gt;&lt;wsp:rsid wsp:val=&quot;006B6525&quot;/&gt;&lt;wsp:rsid wsp:val=&quot;006B68D2&quot;/&gt;&lt;wsp:rsid wsp:val=&quot;006B7314&quot;/&gt;&lt;wsp:rsid wsp:val=&quot;006B744C&quot;/&gt;&lt;wsp:rsid wsp:val=&quot;006C219E&quot;/&gt;&lt;wsp:rsid wsp:val=&quot;006C274E&quot;/&gt;&lt;wsp:rsid wsp:val=&quot;006C37C1&quot;/&gt;&lt;wsp:rsid wsp:val=&quot;006C421B&quot;/&gt;&lt;wsp:rsid wsp:val=&quot;006C4BE4&quot;/&gt;&lt;wsp:rsid wsp:val=&quot;006C4E54&quot;/&gt;&lt;wsp:rsid wsp:val=&quot;006C78E7&quot;/&gt;&lt;wsp:rsid wsp:val=&quot;006D1AD4&quot;/&gt;&lt;wsp:rsid wsp:val=&quot;006D2346&quot;/&gt;&lt;wsp:rsid wsp:val=&quot;006D24C4&quot;/&gt;&lt;wsp:rsid wsp:val=&quot;006D30E4&quot;/&gt;&lt;wsp:rsid wsp:val=&quot;006D3FC5&quot;/&gt;&lt;wsp:rsid wsp:val=&quot;006D5E06&quot;/&gt;&lt;wsp:rsid wsp:val=&quot;006D7AAD&quot;/&gt;&lt;wsp:rsid wsp:val=&quot;006E03DD&quot;/&gt;&lt;wsp:rsid wsp:val=&quot;006E0DF8&quot;/&gt;&lt;wsp:rsid wsp:val=&quot;006E1164&quot;/&gt;&lt;wsp:rsid wsp:val=&quot;006E2041&quot;/&gt;&lt;wsp:rsid wsp:val=&quot;006E2AFD&quot;/&gt;&lt;wsp:rsid wsp:val=&quot;006E3EDD&quot;/&gt;&lt;wsp:rsid wsp:val=&quot;006E4351&quot;/&gt;&lt;wsp:rsid wsp:val=&quot;006E4900&quot;/&gt;&lt;wsp:rsid wsp:val=&quot;006E5418&quot;/&gt;&lt;wsp:rsid wsp:val=&quot;006E5C94&quot;/&gt;&lt;wsp:rsid wsp:val=&quot;006E5F44&quot;/&gt;&lt;wsp:rsid wsp:val=&quot;006E78A8&quot;/&gt;&lt;wsp:rsid wsp:val=&quot;006E79AF&quot;/&gt;&lt;wsp:rsid wsp:val=&quot;006F0E93&quot;/&gt;&lt;wsp:rsid wsp:val=&quot;006F195D&quot;/&gt;&lt;wsp:rsid wsp:val=&quot;006F2338&quot;/&gt;&lt;wsp:rsid wsp:val=&quot;006F29F5&quot;/&gt;&lt;wsp:rsid wsp:val=&quot;006F60A9&quot;/&gt;&lt;wsp:rsid wsp:val=&quot;006F617C&quot;/&gt;&lt;wsp:rsid wsp:val=&quot;006F7015&quot;/&gt;&lt;wsp:rsid wsp:val=&quot;00700196&quot;/&gt;&lt;wsp:rsid wsp:val=&quot;0070027B&quot;/&gt;&lt;wsp:rsid wsp:val=&quot;0070137F&quot;/&gt;&lt;wsp:rsid wsp:val=&quot;00703714&quot;/&gt;&lt;wsp:rsid wsp:val=&quot;007039A0&quot;/&gt;&lt;wsp:rsid wsp:val=&quot;00710322&quot;/&gt;&lt;wsp:rsid wsp:val=&quot;00713615&quot;/&gt;&lt;wsp:rsid wsp:val=&quot;00713877&quot;/&gt;&lt;wsp:rsid wsp:val=&quot;007138AE&quot;/&gt;&lt;wsp:rsid wsp:val=&quot;007140F1&quot;/&gt;&lt;wsp:rsid wsp:val=&quot;0071529E&quot;/&gt;&lt;wsp:rsid wsp:val=&quot;0071561A&quot;/&gt;&lt;wsp:rsid wsp:val=&quot;00721131&quot;/&gt;&lt;wsp:rsid wsp:val=&quot;00722D4F&quot;/&gt;&lt;wsp:rsid wsp:val=&quot;00724ABE&quot;/&gt;&lt;wsp:rsid wsp:val=&quot;00724B32&quot;/&gt;&lt;wsp:rsid wsp:val=&quot;00725CAF&quot;/&gt;&lt;wsp:rsid wsp:val=&quot;00726285&quot;/&gt;&lt;wsp:rsid wsp:val=&quot;00727769&quot;/&gt;&lt;wsp:rsid wsp:val=&quot;00730A25&quot;/&gt;&lt;wsp:rsid wsp:val=&quot;00730E01&quot;/&gt;&lt;wsp:rsid wsp:val=&quot;00732EFC&quot;/&gt;&lt;wsp:rsid wsp:val=&quot;0073334C&quot;/&gt;&lt;wsp:rsid wsp:val=&quot;00733771&quot;/&gt;&lt;wsp:rsid wsp:val=&quot;0073423E&quot;/&gt;&lt;wsp:rsid wsp:val=&quot;007372FA&quot;/&gt;&lt;wsp:rsid wsp:val=&quot;00740294&quot;/&gt;&lt;wsp:rsid wsp:val=&quot;00741334&quot;/&gt;&lt;wsp:rsid wsp:val=&quot;007416BA&quot;/&gt;&lt;wsp:rsid wsp:val=&quot;00741A3B&quot;/&gt;&lt;wsp:rsid wsp:val=&quot;007424A6&quot;/&gt;&lt;wsp:rsid wsp:val=&quot;00742DE1&quot;/&gt;&lt;wsp:rsid wsp:val=&quot;007434B0&quot;/&gt;&lt;wsp:rsid wsp:val=&quot;00743B11&quot;/&gt;&lt;wsp:rsid wsp:val=&quot;00746519&quot;/&gt;&lt;wsp:rsid wsp:val=&quot;00747E2F&quot;/&gt;&lt;wsp:rsid wsp:val=&quot;00747F3E&quot;/&gt;&lt;wsp:rsid wsp:val=&quot;00750DD1&quot;/&gt;&lt;wsp:rsid wsp:val=&quot;007523C1&quot;/&gt;&lt;wsp:rsid wsp:val=&quot;00753D76&quot;/&gt;&lt;wsp:rsid wsp:val=&quot;0075437A&quot;/&gt;&lt;wsp:rsid wsp:val=&quot;00754B46&quot;/&gt;&lt;wsp:rsid wsp:val=&quot;00754E24&quot;/&gt;&lt;wsp:rsid wsp:val=&quot;00755121&quot;/&gt;&lt;wsp:rsid wsp:val=&quot;007565DB&quot;/&gt;&lt;wsp:rsid wsp:val=&quot;00757B52&quot;/&gt;&lt;wsp:rsid wsp:val=&quot;00761397&quot;/&gt;&lt;wsp:rsid wsp:val=&quot;00762D77&quot;/&gt;&lt;wsp:rsid wsp:val=&quot;00765025&quot;/&gt;&lt;wsp:rsid wsp:val=&quot;00767D6D&quot;/&gt;&lt;wsp:rsid wsp:val=&quot;0077127E&quot;/&gt;&lt;wsp:rsid wsp:val=&quot;007714F1&quot;/&gt;&lt;wsp:rsid wsp:val=&quot;00771C60&quot;/&gt;&lt;wsp:rsid wsp:val=&quot;00771F25&quot;/&gt;&lt;wsp:rsid wsp:val=&quot;00772595&quot;/&gt;&lt;wsp:rsid wsp:val=&quot;0077609B&quot;/&gt;&lt;wsp:rsid wsp:val=&quot;00776C65&quot;/&gt;&lt;wsp:rsid wsp:val=&quot;007778D5&quot;/&gt;&lt;wsp:rsid wsp:val=&quot;00781AD0&quot;/&gt;&lt;wsp:rsid wsp:val=&quot;00784C7D&quot;/&gt;&lt;wsp:rsid wsp:val=&quot;007900D0&quot;/&gt;&lt;wsp:rsid wsp:val=&quot;0079159F&quot;/&gt;&lt;wsp:rsid wsp:val=&quot;00792260&quot;/&gt;&lt;wsp:rsid wsp:val=&quot;00792923&quot;/&gt;&lt;wsp:rsid wsp:val=&quot;00792C09&quot;/&gt;&lt;wsp:rsid wsp:val=&quot;00792EC9&quot;/&gt;&lt;wsp:rsid wsp:val=&quot;00793E07&quot;/&gt;&lt;wsp:rsid wsp:val=&quot;00794BC4&quot;/&gt;&lt;wsp:rsid wsp:val=&quot;00796952&quot;/&gt;&lt;wsp:rsid wsp:val=&quot;00796ED6&quot;/&gt;&lt;wsp:rsid wsp:val=&quot;007974A1&quot;/&gt;&lt;wsp:rsid wsp:val=&quot;00797B5B&quot;/&gt;&lt;wsp:rsid wsp:val=&quot;007A020B&quot;/&gt;&lt;wsp:rsid wsp:val=&quot;007A0315&quot;/&gt;&lt;wsp:rsid wsp:val=&quot;007A2427&quot;/&gt;&lt;wsp:rsid wsp:val=&quot;007A4C56&quot;/&gt;&lt;wsp:rsid wsp:val=&quot;007A64DC&quot;/&gt;&lt;wsp:rsid wsp:val=&quot;007A68E3&quot;/&gt;&lt;wsp:rsid wsp:val=&quot;007A6A47&quot;/&gt;&lt;wsp:rsid wsp:val=&quot;007A7B2E&quot;/&gt;&lt;wsp:rsid wsp:val=&quot;007B1613&quot;/&gt;&lt;wsp:rsid wsp:val=&quot;007B2613&quot;/&gt;&lt;wsp:rsid wsp:val=&quot;007B27E4&quot;/&gt;&lt;wsp:rsid wsp:val=&quot;007B2CCB&quot;/&gt;&lt;wsp:rsid wsp:val=&quot;007B30AE&quot;/&gt;&lt;wsp:rsid wsp:val=&quot;007B34A9&quot;/&gt;&lt;wsp:rsid wsp:val=&quot;007B54A2&quot;/&gt;&lt;wsp:rsid wsp:val=&quot;007B62FC&quot;/&gt;&lt;wsp:rsid wsp:val=&quot;007C084C&quot;/&gt;&lt;wsp:rsid wsp:val=&quot;007C0C2C&quot;/&gt;&lt;wsp:rsid wsp:val=&quot;007C28FF&quot;/&gt;&lt;wsp:rsid wsp:val=&quot;007C4CCE&quot;/&gt;&lt;wsp:rsid wsp:val=&quot;007C4F35&quot;/&gt;&lt;wsp:rsid wsp:val=&quot;007D1C0A&quot;/&gt;&lt;wsp:rsid wsp:val=&quot;007D1CF5&quot;/&gt;&lt;wsp:rsid wsp:val=&quot;007D4AC4&quot;/&gt;&lt;wsp:rsid wsp:val=&quot;007D5061&quot;/&gt;&lt;wsp:rsid wsp:val=&quot;007D5193&quot;/&gt;&lt;wsp:rsid wsp:val=&quot;007D6536&quot;/&gt;&lt;wsp:rsid wsp:val=&quot;007D659E&quot;/&gt;&lt;wsp:rsid wsp:val=&quot;007D6B9E&quot;/&gt;&lt;wsp:rsid wsp:val=&quot;007D7EEA&quot;/&gt;&lt;wsp:rsid wsp:val=&quot;007E085E&quot;/&gt;&lt;wsp:rsid wsp:val=&quot;007E103A&quot;/&gt;&lt;wsp:rsid wsp:val=&quot;007E1D22&quot;/&gt;&lt;wsp:rsid wsp:val=&quot;007E3D3D&quot;/&gt;&lt;wsp:rsid wsp:val=&quot;007E52C8&quot;/&gt;&lt;wsp:rsid wsp:val=&quot;007E53A8&quot;/&gt;&lt;wsp:rsid wsp:val=&quot;007F0A54&quot;/&gt;&lt;wsp:rsid wsp:val=&quot;007F1190&quot;/&gt;&lt;wsp:rsid wsp:val=&quot;007F1E62&quot;/&gt;&lt;wsp:rsid wsp:val=&quot;007F2BBF&quot;/&gt;&lt;wsp:rsid wsp:val=&quot;007F4597&quot;/&gt;&lt;wsp:rsid wsp:val=&quot;007F4D37&quot;/&gt;&lt;wsp:rsid wsp:val=&quot;007F5168&quot;/&gt;&lt;wsp:rsid wsp:val=&quot;007F749B&quot;/&gt;&lt;wsp:rsid wsp:val=&quot;007F7A73&quot;/&gt;&lt;wsp:rsid wsp:val=&quot;0080097E&quot;/&gt;&lt;wsp:rsid wsp:val=&quot;00800BBF&quot;/&gt;&lt;wsp:rsid wsp:val=&quot;0080134D&quot;/&gt;&lt;wsp:rsid wsp:val=&quot;008014E5&quot;/&gt;&lt;wsp:rsid wsp:val=&quot;00801CD7&quot;/&gt;&lt;wsp:rsid wsp:val=&quot;00802018&quot;/&gt;&lt;wsp:rsid wsp:val=&quot;008028D6&quot;/&gt;&lt;wsp:rsid wsp:val=&quot;00810C0C&quot;/&gt;&lt;wsp:rsid wsp:val=&quot;008110A0&quot;/&gt;&lt;wsp:rsid wsp:val=&quot;00811528&quot;/&gt;&lt;wsp:rsid wsp:val=&quot;008117D4&quot;/&gt;&lt;wsp:rsid wsp:val=&quot;00811843&quot;/&gt;&lt;wsp:rsid wsp:val=&quot;00812233&quot;/&gt;&lt;wsp:rsid wsp:val=&quot;008129DB&quot;/&gt;&lt;wsp:rsid wsp:val=&quot;0081488C&quot;/&gt;&lt;wsp:rsid wsp:val=&quot;0081611E&quot;/&gt;&lt;wsp:rsid wsp:val=&quot;008204F5&quot;/&gt;&lt;wsp:rsid wsp:val=&quot;00821515&quot;/&gt;&lt;wsp:rsid wsp:val=&quot;00821562&quot;/&gt;&lt;wsp:rsid wsp:val=&quot;008216C2&quot;/&gt;&lt;wsp:rsid wsp:val=&quot;00821AF8&quot;/&gt;&lt;wsp:rsid wsp:val=&quot;0082262D&quot;/&gt;&lt;wsp:rsid wsp:val=&quot;0082292D&quot;/&gt;&lt;wsp:rsid wsp:val=&quot;00822EE2&quot;/&gt;&lt;wsp:rsid wsp:val=&quot;0082537D&quot;/&gt;&lt;wsp:rsid wsp:val=&quot;00826B35&quot;/&gt;&lt;wsp:rsid wsp:val=&quot;00826B77&quot;/&gt;&lt;wsp:rsid wsp:val=&quot;008309FA&quot;/&gt;&lt;wsp:rsid wsp:val=&quot;00832A46&quot;/&gt;&lt;wsp:rsid wsp:val=&quot;00834B2E&quot;/&gt;&lt;wsp:rsid wsp:val=&quot;00835292&quot;/&gt;&lt;wsp:rsid wsp:val=&quot;00835591&quot;/&gt;&lt;wsp:rsid wsp:val=&quot;0083656B&quot;/&gt;&lt;wsp:rsid wsp:val=&quot;008402C6&quot;/&gt;&lt;wsp:rsid wsp:val=&quot;00840E18&quot;/&gt;&lt;wsp:rsid wsp:val=&quot;0084226A&quot;/&gt;&lt;wsp:rsid wsp:val=&quot;00842FE3&quot;/&gt;&lt;wsp:rsid wsp:val=&quot;00844858&quot;/&gt;&lt;wsp:rsid wsp:val=&quot;00844936&quot;/&gt;&lt;wsp:rsid wsp:val=&quot;008463E8&quot;/&gt;&lt;wsp:rsid wsp:val=&quot;0084785A&quot;/&gt;&lt;wsp:rsid wsp:val=&quot;00850882&quot;/&gt;&lt;wsp:rsid wsp:val=&quot;00850E5E&quot;/&gt;&lt;wsp:rsid wsp:val=&quot;00851CE9&quot;/&gt;&lt;wsp:rsid wsp:val=&quot;008547AB&quot;/&gt;&lt;wsp:rsid wsp:val=&quot;0085580A&quot;/&gt;&lt;wsp:rsid wsp:val=&quot;008572CF&quot;/&gt;&lt;wsp:rsid wsp:val=&quot;00860326&quot;/&gt;&lt;wsp:rsid wsp:val=&quot;00861C35&quot;/&gt;&lt;wsp:rsid wsp:val=&quot;00862753&quot;/&gt;&lt;wsp:rsid wsp:val=&quot;008630B8&quot;/&gt;&lt;wsp:rsid wsp:val=&quot;008637E9&quot;/&gt;&lt;wsp:rsid wsp:val=&quot;00864E0A&quot;/&gt;&lt;wsp:rsid wsp:val=&quot;00864E16&quot;/&gt;&lt;wsp:rsid wsp:val=&quot;00865219&quot;/&gt;&lt;wsp:rsid wsp:val=&quot;008659EB&quot;/&gt;&lt;wsp:rsid wsp:val=&quot;008666EE&quot;/&gt;&lt;wsp:rsid wsp:val=&quot;008667AC&quot;/&gt;&lt;wsp:rsid wsp:val=&quot;008702B7&quot;/&gt;&lt;wsp:rsid wsp:val=&quot;00874C7C&quot;/&gt;&lt;wsp:rsid wsp:val=&quot;0088022F&quot;/&gt;&lt;wsp:rsid wsp:val=&quot;00883AD7&quot;/&gt;&lt;wsp:rsid wsp:val=&quot;008841C0&quot;/&gt;&lt;wsp:rsid wsp:val=&quot;008856B4&quot;/&gt;&lt;wsp:rsid wsp:val=&quot;0088589F&quot;/&gt;&lt;wsp:rsid wsp:val=&quot;00886CA0&quot;/&gt;&lt;wsp:rsid wsp:val=&quot;00890698&quot;/&gt;&lt;wsp:rsid wsp:val=&quot;00890FD7&quot;/&gt;&lt;wsp:rsid wsp:val=&quot;00891EAE&quot;/&gt;&lt;wsp:rsid wsp:val=&quot;0089228F&quot;/&gt;&lt;wsp:rsid wsp:val=&quot;00892307&quot;/&gt;&lt;wsp:rsid wsp:val=&quot;00892960&quot;/&gt;&lt;wsp:rsid wsp:val=&quot;00893095&quot;/&gt;&lt;wsp:rsid wsp:val=&quot;008953B5&quot;/&gt;&lt;wsp:rsid wsp:val=&quot;0089587F&quot;/&gt;&lt;wsp:rsid wsp:val=&quot;008966B8&quot;/&gt;&lt;wsp:rsid wsp:val=&quot;0089770A&quot;/&gt;&lt;wsp:rsid wsp:val=&quot;008A0B99&quot;/&gt;&lt;wsp:rsid wsp:val=&quot;008A0DB8&quot;/&gt;&lt;wsp:rsid wsp:val=&quot;008A1083&quot;/&gt;&lt;wsp:rsid wsp:val=&quot;008A1622&quot;/&gt;&lt;wsp:rsid wsp:val=&quot;008A239D&quot;/&gt;&lt;wsp:rsid wsp:val=&quot;008A2B2F&quot;/&gt;&lt;wsp:rsid wsp:val=&quot;008A3CED&quot;/&gt;&lt;wsp:rsid wsp:val=&quot;008A4A52&quot;/&gt;&lt;wsp:rsid wsp:val=&quot;008A56F8&quot;/&gt;&lt;wsp:rsid wsp:val=&quot;008A62BD&quot;/&gt;&lt;wsp:rsid wsp:val=&quot;008A6AF6&quot;/&gt;&lt;wsp:rsid wsp:val=&quot;008A7BC7&quot;/&gt;&lt;wsp:rsid wsp:val=&quot;008B09F3&quot;/&gt;&lt;wsp:rsid wsp:val=&quot;008B1A36&quot;/&gt;&lt;wsp:rsid wsp:val=&quot;008B23DA&quot;/&gt;&lt;wsp:rsid wsp:val=&quot;008B29C4&quot;/&gt;&lt;wsp:rsid wsp:val=&quot;008B567D&quot;/&gt;&lt;wsp:rsid wsp:val=&quot;008B5E81&quot;/&gt;&lt;wsp:rsid wsp:val=&quot;008C13FB&quot;/&gt;&lt;wsp:rsid wsp:val=&quot;008C4598&quot;/&gt;&lt;wsp:rsid wsp:val=&quot;008C46F7&quot;/&gt;&lt;wsp:rsid wsp:val=&quot;008C49C7&quot;/&gt;&lt;wsp:rsid wsp:val=&quot;008C5417&quot;/&gt;&lt;wsp:rsid wsp:val=&quot;008C5FFC&quot;/&gt;&lt;wsp:rsid wsp:val=&quot;008C6927&quot;/&gt;&lt;wsp:rsid wsp:val=&quot;008C7F74&quot;/&gt;&lt;wsp:rsid wsp:val=&quot;008D0AD9&quot;/&gt;&lt;wsp:rsid wsp:val=&quot;008D1669&quot;/&gt;&lt;wsp:rsid wsp:val=&quot;008D2B83&quot;/&gt;&lt;wsp:rsid wsp:val=&quot;008D3B20&quot;/&gt;&lt;wsp:rsid wsp:val=&quot;008D43FE&quot;/&gt;&lt;wsp:rsid wsp:val=&quot;008D493D&quot;/&gt;&lt;wsp:rsid wsp:val=&quot;008D5802&quot;/&gt;&lt;wsp:rsid wsp:val=&quot;008D5EE6&quot;/&gt;&lt;wsp:rsid wsp:val=&quot;008D60B7&quot;/&gt;&lt;wsp:rsid wsp:val=&quot;008D64D0&quot;/&gt;&lt;wsp:rsid wsp:val=&quot;008E0F93&quot;/&gt;&lt;wsp:rsid wsp:val=&quot;008E10F1&quot;/&gt;&lt;wsp:rsid wsp:val=&quot;008E26E3&quot;/&gt;&lt;wsp:rsid wsp:val=&quot;008E4683&quot;/&gt;&lt;wsp:rsid wsp:val=&quot;008E4B14&quot;/&gt;&lt;wsp:rsid wsp:val=&quot;008E4FAA&quot;/&gt;&lt;wsp:rsid wsp:val=&quot;008E53A4&quot;/&gt;&lt;wsp:rsid wsp:val=&quot;008E60BA&quot;/&gt;&lt;wsp:rsid wsp:val=&quot;008F1404&quot;/&gt;&lt;wsp:rsid wsp:val=&quot;008F61F8&quot;/&gt;&lt;wsp:rsid wsp:val=&quot;008F7635&quot;/&gt;&lt;wsp:rsid wsp:val=&quot;00900C02&quot;/&gt;&lt;wsp:rsid wsp:val=&quot;00900C9B&quot;/&gt;&lt;wsp:rsid wsp:val=&quot;0090380D&quot;/&gt;&lt;wsp:rsid wsp:val=&quot;00903C25&quot;/&gt;&lt;wsp:rsid wsp:val=&quot;009112B2&quot;/&gt;&lt;wsp:rsid wsp:val=&quot;009139B3&quot;/&gt;&lt;wsp:rsid wsp:val=&quot;00914BA1&quot;/&gt;&lt;wsp:rsid wsp:val=&quot;00915FDB&quot;/&gt;&lt;wsp:rsid wsp:val=&quot;00917E34&quot;/&gt;&lt;wsp:rsid wsp:val=&quot;009212BF&quot;/&gt;&lt;wsp:rsid wsp:val=&quot;0092212D&quot;/&gt;&lt;wsp:rsid wsp:val=&quot;0092268F&quot;/&gt;&lt;wsp:rsid wsp:val=&quot;009228B1&quot;/&gt;&lt;wsp:rsid wsp:val=&quot;00922C79&quot;/&gt;&lt;wsp:rsid wsp:val=&quot;00924B6B&quot;/&gt;&lt;wsp:rsid wsp:val=&quot;009253F5&quot;/&gt;&lt;wsp:rsid wsp:val=&quot;00927EFD&quot;/&gt;&lt;wsp:rsid wsp:val=&quot;009324E7&quot;/&gt;&lt;wsp:rsid wsp:val=&quot;0093582B&quot;/&gt;&lt;wsp:rsid wsp:val=&quot;009360A4&quot;/&gt;&lt;wsp:rsid wsp:val=&quot;00937C76&quot;/&gt;&lt;wsp:rsid wsp:val=&quot;009402A0&quot;/&gt;&lt;wsp:rsid wsp:val=&quot;009408C9&quot;/&gt;&lt;wsp:rsid wsp:val=&quot;00941679&quot;/&gt;&lt;wsp:rsid wsp:val=&quot;00941FDB&quot;/&gt;&lt;wsp:rsid wsp:val=&quot;009435AA&quot;/&gt;&lt;wsp:rsid wsp:val=&quot;00944957&quot;/&gt;&lt;wsp:rsid wsp:val=&quot;00944A7E&quot;/&gt;&lt;wsp:rsid wsp:val=&quot;00945600&quot;/&gt;&lt;wsp:rsid wsp:val=&quot;00946061&quot;/&gt;&lt;wsp:rsid wsp:val=&quot;00946328&quot;/&gt;&lt;wsp:rsid wsp:val=&quot;00946815&quot;/&gt;&lt;wsp:rsid wsp:val=&quot;00947CC6&quot;/&gt;&lt;wsp:rsid wsp:val=&quot;00950B46&quot;/&gt;&lt;wsp:rsid wsp:val=&quot;00950DF9&quot;/&gt;&lt;wsp:rsid wsp:val=&quot;00951117&quot;/&gt;&lt;wsp:rsid wsp:val=&quot;0095260D&quot;/&gt;&lt;wsp:rsid wsp:val=&quot;00956B54&quot;/&gt;&lt;wsp:rsid wsp:val=&quot;00957279&quot;/&gt;&lt;wsp:rsid wsp:val=&quot;00957640&quot;/&gt;&lt;wsp:rsid wsp:val=&quot;00961AB2&quot;/&gt;&lt;wsp:rsid wsp:val=&quot;00964115&quot;/&gt;&lt;wsp:rsid wsp:val=&quot;00965D1D&quot;/&gt;&lt;wsp:rsid wsp:val=&quot;00965E45&quot;/&gt;&lt;wsp:rsid wsp:val=&quot;00966071&quot;/&gt;&lt;wsp:rsid wsp:val=&quot;00966803&quot;/&gt;&lt;wsp:rsid wsp:val=&quot;009669F3&quot;/&gt;&lt;wsp:rsid wsp:val=&quot;00967797&quot;/&gt;&lt;wsp:rsid wsp:val=&quot;00967FEA&quot;/&gt;&lt;wsp:rsid wsp:val=&quot;009703FA&quot;/&gt;&lt;wsp:rsid wsp:val=&quot;009704CD&quot;/&gt;&lt;wsp:rsid wsp:val=&quot;00972FC1&quot;/&gt;&lt;wsp:rsid wsp:val=&quot;00974580&quot;/&gt;&lt;wsp:rsid wsp:val=&quot;00976E9C&quot;/&gt;&lt;wsp:rsid wsp:val=&quot;00981537&quot;/&gt;&lt;wsp:rsid wsp:val=&quot;009819A6&quot;/&gt;&lt;wsp:rsid wsp:val=&quot;00984853&quot;/&gt;&lt;wsp:rsid wsp:val=&quot;009869E8&quot;/&gt;&lt;wsp:rsid wsp:val=&quot;0099090F&quot;/&gt;&lt;wsp:rsid wsp:val=&quot;00992941&quot;/&gt;&lt;wsp:rsid wsp:val=&quot;00993A1A&quot;/&gt;&lt;wsp:rsid wsp:val=&quot;00994408&quot;/&gt;&lt;wsp:rsid wsp:val=&quot;00997166&quot;/&gt;&lt;wsp:rsid wsp:val=&quot;009A04C0&quot;/&gt;&lt;wsp:rsid wsp:val=&quot;009A0FC3&quot;/&gt;&lt;wsp:rsid wsp:val=&quot;009A1EF1&quot;/&gt;&lt;wsp:rsid wsp:val=&quot;009A27C4&quot;/&gt;&lt;wsp:rsid wsp:val=&quot;009A3BB9&quot;/&gt;&lt;wsp:rsid wsp:val=&quot;009A50DD&quot;/&gt;&lt;wsp:rsid wsp:val=&quot;009A7AA6&quot;/&gt;&lt;wsp:rsid wsp:val=&quot;009B0F11&quot;/&gt;&lt;wsp:rsid wsp:val=&quot;009B11EA&quot;/&gt;&lt;wsp:rsid wsp:val=&quot;009B6937&quot;/&gt;&lt;wsp:rsid wsp:val=&quot;009B768D&quot;/&gt;&lt;wsp:rsid wsp:val=&quot;009B787B&quot;/&gt;&lt;wsp:rsid wsp:val=&quot;009B7D87&quot;/&gt;&lt;wsp:rsid wsp:val=&quot;009C2459&quot;/&gt;&lt;wsp:rsid wsp:val=&quot;009C2E40&quot;/&gt;&lt;wsp:rsid wsp:val=&quot;009C41A2&quot;/&gt;&lt;wsp:rsid wsp:val=&quot;009D130D&quot;/&gt;&lt;wsp:rsid wsp:val=&quot;009D18AC&quot;/&gt;&lt;wsp:rsid wsp:val=&quot;009D34C5&quot;/&gt;&lt;wsp:rsid wsp:val=&quot;009D3FC7&quot;/&gt;&lt;wsp:rsid wsp:val=&quot;009D5541&quot;/&gt;&lt;wsp:rsid wsp:val=&quot;009D5E43&quot;/&gt;&lt;wsp:rsid wsp:val=&quot;009D648F&quot;/&gt;&lt;wsp:rsid wsp:val=&quot;009E19FF&quot;/&gt;&lt;wsp:rsid wsp:val=&quot;009E1D06&quot;/&gt;&lt;wsp:rsid wsp:val=&quot;009E35EC&quot;/&gt;&lt;wsp:rsid wsp:val=&quot;009E3A87&quot;/&gt;&lt;wsp:rsid wsp:val=&quot;009E43FB&quot;/&gt;&lt;wsp:rsid wsp:val=&quot;009E5292&quot;/&gt;&lt;wsp:rsid wsp:val=&quot;009E6BF1&quot;/&gt;&lt;wsp:rsid wsp:val=&quot;009E6F9F&quot;/&gt;&lt;wsp:rsid wsp:val=&quot;009E7714&quot;/&gt;&lt;wsp:rsid wsp:val=&quot;009F00B5&quot;/&gt;&lt;wsp:rsid wsp:val=&quot;009F0178&quot;/&gt;&lt;wsp:rsid wsp:val=&quot;009F1378&quot;/&gt;&lt;wsp:rsid wsp:val=&quot;009F25DD&quot;/&gt;&lt;wsp:rsid wsp:val=&quot;009F2D9A&quot;/&gt;&lt;wsp:rsid wsp:val=&quot;009F3DA0&quot;/&gt;&lt;wsp:rsid wsp:val=&quot;009F3F65&quot;/&gt;&lt;wsp:rsid wsp:val=&quot;009F44E4&quot;/&gt;&lt;wsp:rsid wsp:val=&quot;009F5B56&quot;/&gt;&lt;wsp:rsid wsp:val=&quot;009F7582&quot;/&gt;&lt;wsp:rsid wsp:val=&quot;00A03192&quot;/&gt;&lt;wsp:rsid wsp:val=&quot;00A033C4&quot;/&gt;&lt;wsp:rsid wsp:val=&quot;00A03E10&quot;/&gt;&lt;wsp:rsid wsp:val=&quot;00A046A3&quot;/&gt;&lt;wsp:rsid wsp:val=&quot;00A07A55&quot;/&gt;&lt;wsp:rsid wsp:val=&quot;00A12605&quot;/&gt;&lt;wsp:rsid wsp:val=&quot;00A12E9F&quot;/&gt;&lt;wsp:rsid wsp:val=&quot;00A132C4&quot;/&gt;&lt;wsp:rsid wsp:val=&quot;00A13883&quot;/&gt;&lt;wsp:rsid wsp:val=&quot;00A15618&quot;/&gt;&lt;wsp:rsid wsp:val=&quot;00A161D8&quot;/&gt;&lt;wsp:rsid wsp:val=&quot;00A227D7&quot;/&gt;&lt;wsp:rsid wsp:val=&quot;00A228E5&quot;/&gt;&lt;wsp:rsid wsp:val=&quot;00A22C6F&quot;/&gt;&lt;wsp:rsid wsp:val=&quot;00A2340B&quot;/&gt;&lt;wsp:rsid wsp:val=&quot;00A24038&quot;/&gt;&lt;wsp:rsid wsp:val=&quot;00A2455D&quot;/&gt;&lt;wsp:rsid wsp:val=&quot;00A25422&quot;/&gt;&lt;wsp:rsid wsp:val=&quot;00A259AA&quot;/&gt;&lt;wsp:rsid wsp:val=&quot;00A30CA3&quot;/&gt;&lt;wsp:rsid wsp:val=&quot;00A3165D&quot;/&gt;&lt;wsp:rsid wsp:val=&quot;00A3250B&quot;/&gt;&lt;wsp:rsid wsp:val=&quot;00A33234&quot;/&gt;&lt;wsp:rsid wsp:val=&quot;00A33E96&quot;/&gt;&lt;wsp:rsid wsp:val=&quot;00A3447B&quot;/&gt;&lt;wsp:rsid wsp:val=&quot;00A34B0D&quot;/&gt;&lt;wsp:rsid wsp:val=&quot;00A35642&quot;/&gt;&lt;wsp:rsid wsp:val=&quot;00A3677A&quot;/&gt;&lt;wsp:rsid wsp:val=&quot;00A36BE1&quot;/&gt;&lt;wsp:rsid wsp:val=&quot;00A404CE&quot;/&gt;&lt;wsp:rsid wsp:val=&quot;00A409E2&quot;/&gt;&lt;wsp:rsid wsp:val=&quot;00A412C2&quot;/&gt;&lt;wsp:rsid wsp:val=&quot;00A437B4&quot;/&gt;&lt;wsp:rsid wsp:val=&quot;00A4646C&quot;/&gt;&lt;wsp:rsid wsp:val=&quot;00A5158B&quot;/&gt;&lt;wsp:rsid wsp:val=&quot;00A54E15&quot;/&gt;&lt;wsp:rsid wsp:val=&quot;00A566F7&quot;/&gt;&lt;wsp:rsid wsp:val=&quot;00A57B0F&quot;/&gt;&lt;wsp:rsid wsp:val=&quot;00A57C6F&quot;/&gt;&lt;wsp:rsid wsp:val=&quot;00A57CC1&quot;/&gt;&lt;wsp:rsid wsp:val=&quot;00A61CE9&quot;/&gt;&lt;wsp:rsid wsp:val=&quot;00A627C6&quot;/&gt;&lt;wsp:rsid wsp:val=&quot;00A64E50&quot;/&gt;&lt;wsp:rsid wsp:val=&quot;00A65576&quot;/&gt;&lt;wsp:rsid wsp:val=&quot;00A65DF6&quot;/&gt;&lt;wsp:rsid wsp:val=&quot;00A66727&quot;/&gt;&lt;wsp:rsid wsp:val=&quot;00A66B89&quot;/&gt;&lt;wsp:rsid wsp:val=&quot;00A6781F&quot;/&gt;&lt;wsp:rsid wsp:val=&quot;00A678A1&quot;/&gt;&lt;wsp:rsid wsp:val=&quot;00A70124&quot;/&gt;&lt;wsp:rsid wsp:val=&quot;00A71165&quot;/&gt;&lt;wsp:rsid wsp:val=&quot;00A71F60&quot;/&gt;&lt;wsp:rsid wsp:val=&quot;00A73A46&quot;/&gt;&lt;wsp:rsid wsp:val=&quot;00A74B1F&quot;/&gt;&lt;wsp:rsid wsp:val=&quot;00A755CF&quot;/&gt;&lt;wsp:rsid wsp:val=&quot;00A756AB&quot;/&gt;&lt;wsp:rsid wsp:val=&quot;00A75FCA&quot;/&gt;&lt;wsp:rsid wsp:val=&quot;00A76C9D&quot;/&gt;&lt;wsp:rsid wsp:val=&quot;00A7701C&quot;/&gt;&lt;wsp:rsid wsp:val=&quot;00A80363&quot;/&gt;&lt;wsp:rsid wsp:val=&quot;00A81862&quot;/&gt;&lt;wsp:rsid wsp:val=&quot;00A836ED&quot;/&gt;&lt;wsp:rsid wsp:val=&quot;00A838A6&quot;/&gt;&lt;wsp:rsid wsp:val=&quot;00A85469&quot;/&gt;&lt;wsp:rsid wsp:val=&quot;00A86655&quot;/&gt;&lt;wsp:rsid wsp:val=&quot;00A866E4&quot;/&gt;&lt;wsp:rsid wsp:val=&quot;00A868BF&quot;/&gt;&lt;wsp:rsid wsp:val=&quot;00A9089D&quot;/&gt;&lt;wsp:rsid wsp:val=&quot;00A915B8&quot;/&gt;&lt;wsp:rsid wsp:val=&quot;00A92761&quot;/&gt;&lt;wsp:rsid wsp:val=&quot;00A92BB3&quot;/&gt;&lt;wsp:rsid wsp:val=&quot;00A93325&quot;/&gt;&lt;wsp:rsid wsp:val=&quot;00A94FB9&quot;/&gt;&lt;wsp:rsid wsp:val=&quot;00AA22CE&quot;/&gt;&lt;wsp:rsid wsp:val=&quot;00AA3F86&quot;/&gt;&lt;wsp:rsid wsp:val=&quot;00AA54C8&quot;/&gt;&lt;wsp:rsid wsp:val=&quot;00AA633F&quot;/&gt;&lt;wsp:rsid wsp:val=&quot;00AA6E5F&quot;/&gt;&lt;wsp:rsid wsp:val=&quot;00AA6F03&quot;/&gt;&lt;wsp:rsid wsp:val=&quot;00AB12FB&quot;/&gt;&lt;wsp:rsid wsp:val=&quot;00AB13C1&quot;/&gt;&lt;wsp:rsid wsp:val=&quot;00AB28D1&quot;/&gt;&lt;wsp:rsid wsp:val=&quot;00AB3520&quot;/&gt;&lt;wsp:rsid wsp:val=&quot;00AB562E&quot;/&gt;&lt;wsp:rsid wsp:val=&quot;00AB5BAD&quot;/&gt;&lt;wsp:rsid wsp:val=&quot;00AB6062&quot;/&gt;&lt;wsp:rsid wsp:val=&quot;00AB6E48&quot;/&gt;&lt;wsp:rsid wsp:val=&quot;00AC2CED&quot;/&gt;&lt;wsp:rsid wsp:val=&quot;00AC30DE&quot;/&gt;&lt;wsp:rsid wsp:val=&quot;00AC30FF&quot;/&gt;&lt;wsp:rsid wsp:val=&quot;00AC3766&quot;/&gt;&lt;wsp:rsid wsp:val=&quot;00AC5285&quot;/&gt;&lt;wsp:rsid wsp:val=&quot;00AD28C7&quot;/&gt;&lt;wsp:rsid wsp:val=&quot;00AD6CCD&quot;/&gt;&lt;wsp:rsid wsp:val=&quot;00AE0865&quot;/&gt;&lt;wsp:rsid wsp:val=&quot;00AE1337&quot;/&gt;&lt;wsp:rsid wsp:val=&quot;00AE2331&quot;/&gt;&lt;wsp:rsid wsp:val=&quot;00AE59BA&quot;/&gt;&lt;wsp:rsid wsp:val=&quot;00AE6048&quot;/&gt;&lt;wsp:rsid wsp:val=&quot;00AF04A0&quot;/&gt;&lt;wsp:rsid wsp:val=&quot;00AF0D15&quot;/&gt;&lt;wsp:rsid wsp:val=&quot;00AF1B7B&quot;/&gt;&lt;wsp:rsid wsp:val=&quot;00AF2205&quot;/&gt;&lt;wsp:rsid wsp:val=&quot;00AF3750&quot;/&gt;&lt;wsp:rsid wsp:val=&quot;00AF388C&quot;/&gt;&lt;wsp:rsid wsp:val=&quot;00B002A0&quot;/&gt;&lt;wsp:rsid wsp:val=&quot;00B02765&quot;/&gt;&lt;wsp:rsid wsp:val=&quot;00B02DF8&quot;/&gt;&lt;wsp:rsid wsp:val=&quot;00B03E1E&quot;/&gt;&lt;wsp:rsid wsp:val=&quot;00B04A87&quot;/&gt;&lt;wsp:rsid wsp:val=&quot;00B07543&quot;/&gt;&lt;wsp:rsid wsp:val=&quot;00B108E3&quot;/&gt;&lt;wsp:rsid wsp:val=&quot;00B1160E&quot;/&gt;&lt;wsp:rsid wsp:val=&quot;00B146DC&quot;/&gt;&lt;wsp:rsid wsp:val=&quot;00B14A57&quot;/&gt;&lt;wsp:rsid wsp:val=&quot;00B154B8&quot;/&gt;&lt;wsp:rsid wsp:val=&quot;00B17330&quot;/&gt;&lt;wsp:rsid wsp:val=&quot;00B17724&quot;/&gt;&lt;wsp:rsid wsp:val=&quot;00B21809&quot;/&gt;&lt;wsp:rsid wsp:val=&quot;00B233A2&quot;/&gt;&lt;wsp:rsid wsp:val=&quot;00B24A83&quot;/&gt;&lt;wsp:rsid wsp:val=&quot;00B25040&quot;/&gt;&lt;wsp:rsid wsp:val=&quot;00B26306&quot;/&gt;&lt;wsp:rsid wsp:val=&quot;00B277BA&quot;/&gt;&lt;wsp:rsid wsp:val=&quot;00B30498&quot;/&gt;&lt;wsp:rsid wsp:val=&quot;00B3440E&quot;/&gt;&lt;wsp:rsid wsp:val=&quot;00B3445D&quot;/&gt;&lt;wsp:rsid wsp:val=&quot;00B352AA&quot;/&gt;&lt;wsp:rsid wsp:val=&quot;00B36D1D&quot;/&gt;&lt;wsp:rsid wsp:val=&quot;00B372F2&quot;/&gt;&lt;wsp:rsid wsp:val=&quot;00B40DEA&quot;/&gt;&lt;wsp:rsid wsp:val=&quot;00B43F33&quot;/&gt;&lt;wsp:rsid wsp:val=&quot;00B4440A&quot;/&gt;&lt;wsp:rsid wsp:val=&quot;00B44A55&quot;/&gt;&lt;wsp:rsid wsp:val=&quot;00B44C1D&quot;/&gt;&lt;wsp:rsid wsp:val=&quot;00B44E8A&quot;/&gt;&lt;wsp:rsid wsp:val=&quot;00B451D0&quot;/&gt;&lt;wsp:rsid wsp:val=&quot;00B46FB7&quot;/&gt;&lt;wsp:rsid wsp:val=&quot;00B476BD&quot;/&gt;&lt;wsp:rsid wsp:val=&quot;00B50B85&quot;/&gt;&lt;wsp:rsid wsp:val=&quot;00B52F30&quot;/&gt;&lt;wsp:rsid wsp:val=&quot;00B55CE1&quot;/&gt;&lt;wsp:rsid wsp:val=&quot;00B570BD&quot;/&gt;&lt;wsp:rsid wsp:val=&quot;00B602D8&quot;/&gt;&lt;wsp:rsid wsp:val=&quot;00B60A77&quot;/&gt;&lt;wsp:rsid wsp:val=&quot;00B61827&quot;/&gt;&lt;wsp:rsid wsp:val=&quot;00B65AE9&quot;/&gt;&lt;wsp:rsid wsp:val=&quot;00B66077&quot;/&gt;&lt;wsp:rsid wsp:val=&quot;00B66137&quot;/&gt;&lt;wsp:rsid wsp:val=&quot;00B664ED&quot;/&gt;&lt;wsp:rsid wsp:val=&quot;00B67C1D&quot;/&gt;&lt;wsp:rsid wsp:val=&quot;00B70069&quot;/&gt;&lt;wsp:rsid wsp:val=&quot;00B70E0E&quot;/&gt;&lt;wsp:rsid wsp:val=&quot;00B71CA8&quot;/&gt;&lt;wsp:rsid wsp:val=&quot;00B744FB&quot;/&gt;&lt;wsp:rsid wsp:val=&quot;00B7484E&quot;/&gt;&lt;wsp:rsid wsp:val=&quot;00B75826&quot;/&gt;&lt;wsp:rsid wsp:val=&quot;00B7656D&quot;/&gt;&lt;wsp:rsid wsp:val=&quot;00B80223&quot;/&gt;&lt;wsp:rsid wsp:val=&quot;00B808B0&quot;/&gt;&lt;wsp:rsid wsp:val=&quot;00B855A9&quot;/&gt;&lt;wsp:rsid wsp:val=&quot;00B860A9&quot;/&gt;&lt;wsp:rsid wsp:val=&quot;00B861E7&quot;/&gt;&lt;wsp:rsid wsp:val=&quot;00B8679C&quot;/&gt;&lt;wsp:rsid wsp:val=&quot;00B8755F&quot;/&gt;&lt;wsp:rsid wsp:val=&quot;00B876BE&quot;/&gt;&lt;wsp:rsid wsp:val=&quot;00B91357&quot;/&gt;&lt;wsp:rsid wsp:val=&quot;00B936FB&quot;/&gt;&lt;wsp:rsid wsp:val=&quot;00B93E91&quot;/&gt;&lt;wsp:rsid wsp:val=&quot;00B9433B&quot;/&gt;&lt;wsp:rsid wsp:val=&quot;00B9584E&quot;/&gt;&lt;wsp:rsid wsp:val=&quot;00B963A7&quot;/&gt;&lt;wsp:rsid wsp:val=&quot;00BA1064&quot;/&gt;&lt;wsp:rsid wsp:val=&quot;00BA2568&quot;/&gt;&lt;wsp:rsid wsp:val=&quot;00BA25A3&quot;/&gt;&lt;wsp:rsid wsp:val=&quot;00BA2AC4&quot;/&gt;&lt;wsp:rsid wsp:val=&quot;00BA3473&quot;/&gt;&lt;wsp:rsid wsp:val=&quot;00BA6B64&quot;/&gt;&lt;wsp:rsid wsp:val=&quot;00BA7C3D&quot;/&gt;&lt;wsp:rsid wsp:val=&quot;00BB22AE&quot;/&gt;&lt;wsp:rsid wsp:val=&quot;00BB400F&quot;/&gt;&lt;wsp:rsid wsp:val=&quot;00BB5AD6&quot;/&gt;&lt;wsp:rsid wsp:val=&quot;00BB744B&quot;/&gt;&lt;wsp:rsid wsp:val=&quot;00BC0D67&quot;/&gt;&lt;wsp:rsid wsp:val=&quot;00BC1AC8&quot;/&gt;&lt;wsp:rsid wsp:val=&quot;00BC28C2&quot;/&gt;&lt;wsp:rsid wsp:val=&quot;00BC2C55&quot;/&gt;&lt;wsp:rsid wsp:val=&quot;00BC38CC&quot;/&gt;&lt;wsp:rsid wsp:val=&quot;00BC59CB&quot;/&gt;&lt;wsp:rsid wsp:val=&quot;00BC5DA1&quot;/&gt;&lt;wsp:rsid wsp:val=&quot;00BC6F66&quot;/&gt;&lt;wsp:rsid wsp:val=&quot;00BC76CA&quot;/&gt;&lt;wsp:rsid wsp:val=&quot;00BD00D6&quot;/&gt;&lt;wsp:rsid wsp:val=&quot;00BD0604&quot;/&gt;&lt;wsp:rsid wsp:val=&quot;00BD11F0&quot;/&gt;&lt;wsp:rsid wsp:val=&quot;00BD1980&quot;/&gt;&lt;wsp:rsid wsp:val=&quot;00BD2382&quot;/&gt;&lt;wsp:rsid wsp:val=&quot;00BD2A4C&quot;/&gt;&lt;wsp:rsid wsp:val=&quot;00BD2A83&quot;/&gt;&lt;wsp:rsid wsp:val=&quot;00BD4AFD&quot;/&gt;&lt;wsp:rsid wsp:val=&quot;00BD4BD2&quot;/&gt;&lt;wsp:rsid wsp:val=&quot;00BD5A6C&quot;/&gt;&lt;wsp:rsid wsp:val=&quot;00BD5C22&quot;/&gt;&lt;wsp:rsid wsp:val=&quot;00BD7C22&quot;/&gt;&lt;wsp:rsid wsp:val=&quot;00BD7FA8&quot;/&gt;&lt;wsp:rsid wsp:val=&quot;00BE2BE3&quot;/&gt;&lt;wsp:rsid wsp:val=&quot;00BE43E9&quot;/&gt;&lt;wsp:rsid wsp:val=&quot;00BE50C3&quot;/&gt;&lt;wsp:rsid wsp:val=&quot;00BE68E3&quot;/&gt;&lt;wsp:rsid wsp:val=&quot;00BE7593&quot;/&gt;&lt;wsp:rsid wsp:val=&quot;00BF1649&quot;/&gt;&lt;wsp:rsid wsp:val=&quot;00BF1BBC&quot;/&gt;&lt;wsp:rsid wsp:val=&quot;00BF3616&quot;/&gt;&lt;wsp:rsid wsp:val=&quot;00BF59AA&quot;/&gt;&lt;wsp:rsid wsp:val=&quot;00BF69E9&quot;/&gt;&lt;wsp:rsid wsp:val=&quot;00BF6FFA&quot;/&gt;&lt;wsp:rsid wsp:val=&quot;00BF71DB&quot;/&gt;&lt;wsp:rsid wsp:val=&quot;00C01D06&quot;/&gt;&lt;wsp:rsid wsp:val=&quot;00C02C5F&quot;/&gt;&lt;wsp:rsid wsp:val=&quot;00C03333&quot;/&gt;&lt;wsp:rsid wsp:val=&quot;00C037F7&quot;/&gt;&lt;wsp:rsid wsp:val=&quot;00C03A50&quot;/&gt;&lt;wsp:rsid wsp:val=&quot;00C0655A&quot;/&gt;&lt;wsp:rsid wsp:val=&quot;00C071D5&quot;/&gt;&lt;wsp:rsid wsp:val=&quot;00C125E5&quot;/&gt;&lt;wsp:rsid wsp:val=&quot;00C12C52&quot;/&gt;&lt;wsp:rsid wsp:val=&quot;00C14A70&quot;/&gt;&lt;wsp:rsid wsp:val=&quot;00C15BF5&quot;/&gt;&lt;wsp:rsid wsp:val=&quot;00C15D85&quot;/&gt;&lt;wsp:rsid wsp:val=&quot;00C16CCD&quot;/&gt;&lt;wsp:rsid wsp:val=&quot;00C16E1B&quot;/&gt;&lt;wsp:rsid wsp:val=&quot;00C170E7&quot;/&gt;&lt;wsp:rsid wsp:val=&quot;00C175A2&quot;/&gt;&lt;wsp:rsid wsp:val=&quot;00C2078A&quot;/&gt;&lt;wsp:rsid wsp:val=&quot;00C272F9&quot;/&gt;&lt;wsp:rsid wsp:val=&quot;00C31F45&quot;/&gt;&lt;wsp:rsid wsp:val=&quot;00C37C96&quot;/&gt;&lt;wsp:rsid wsp:val=&quot;00C37EE3&quot;/&gt;&lt;wsp:rsid wsp:val=&quot;00C41EE5&quot;/&gt;&lt;wsp:rsid wsp:val=&quot;00C4261E&quot;/&gt;&lt;wsp:rsid wsp:val=&quot;00C44CCC&quot;/&gt;&lt;wsp:rsid wsp:val=&quot;00C459A0&quot;/&gt;&lt;wsp:rsid wsp:val=&quot;00C460EE&quot;/&gt;&lt;wsp:rsid wsp:val=&quot;00C462B6&quot;/&gt;&lt;wsp:rsid wsp:val=&quot;00C46FE1&quot;/&gt;&lt;wsp:rsid wsp:val=&quot;00C50851&quot;/&gt;&lt;wsp:rsid wsp:val=&quot;00C50956&quot;/&gt;&lt;wsp:rsid wsp:val=&quot;00C53AD8&quot;/&gt;&lt;wsp:rsid wsp:val=&quot;00C55342&quot;/&gt;&lt;wsp:rsid wsp:val=&quot;00C566E0&quot;/&gt;&lt;wsp:rsid wsp:val=&quot;00C577C0&quot;/&gt;&lt;wsp:rsid wsp:val=&quot;00C60030&quot;/&gt;&lt;wsp:rsid wsp:val=&quot;00C60C56&quot;/&gt;&lt;wsp:rsid wsp:val=&quot;00C60E2C&quot;/&gt;&lt;wsp:rsid wsp:val=&quot;00C63895&quot;/&gt;&lt;wsp:rsid wsp:val=&quot;00C64380&quot;/&gt;&lt;wsp:rsid wsp:val=&quot;00C648DE&quot;/&gt;&lt;wsp:rsid wsp:val=&quot;00C707EA&quot;/&gt;&lt;wsp:rsid wsp:val=&quot;00C71916&quot;/&gt;&lt;wsp:rsid wsp:val=&quot;00C72A53&quot;/&gt;&lt;wsp:rsid wsp:val=&quot;00C730F8&quot;/&gt;&lt;wsp:rsid wsp:val=&quot;00C739A0&quot;/&gt;&lt;wsp:rsid wsp:val=&quot;00C74C52&quot;/&gt;&lt;wsp:rsid wsp:val=&quot;00C75497&quot;/&gt;&lt;wsp:rsid wsp:val=&quot;00C76971&quot;/&gt;&lt;wsp:rsid wsp:val=&quot;00C83B7E&quot;/&gt;&lt;wsp:rsid wsp:val=&quot;00C841A2&quot;/&gt;&lt;wsp:rsid wsp:val=&quot;00C84897&quot;/&gt;&lt;wsp:rsid wsp:val=&quot;00C85F58&quot;/&gt;&lt;wsp:rsid wsp:val=&quot;00C866BF&quot;/&gt;&lt;wsp:rsid wsp:val=&quot;00C90E5E&quot;/&gt;&lt;wsp:rsid wsp:val=&quot;00C940F8&quot;/&gt;&lt;wsp:rsid wsp:val=&quot;00C95F28&quot;/&gt;&lt;wsp:rsid wsp:val=&quot;00C96EB5&quot;/&gt;&lt;wsp:rsid wsp:val=&quot;00CA1F48&quot;/&gt;&lt;wsp:rsid wsp:val=&quot;00CA2F87&quot;/&gt;&lt;wsp:rsid wsp:val=&quot;00CA3599&quot;/&gt;&lt;wsp:rsid wsp:val=&quot;00CA4861&quot;/&gt;&lt;wsp:rsid wsp:val=&quot;00CA4EFC&quot;/&gt;&lt;wsp:rsid wsp:val=&quot;00CA627C&quot;/&gt;&lt;wsp:rsid wsp:val=&quot;00CA68A1&quot;/&gt;&lt;wsp:rsid wsp:val=&quot;00CA7B70&quot;/&gt;&lt;wsp:rsid wsp:val=&quot;00CB0265&quot;/&gt;&lt;wsp:rsid wsp:val=&quot;00CB1B13&quot;/&gt;&lt;wsp:rsid wsp:val=&quot;00CB3287&quot;/&gt;&lt;wsp:rsid wsp:val=&quot;00CB3727&quot;/&gt;&lt;wsp:rsid wsp:val=&quot;00CB46B7&quot;/&gt;&lt;wsp:rsid wsp:val=&quot;00CB4E34&quot;/&gt;&lt;wsp:rsid wsp:val=&quot;00CB60FF&quot;/&gt;&lt;wsp:rsid wsp:val=&quot;00CB68DB&quot;/&gt;&lt;wsp:rsid wsp:val=&quot;00CC0780&quot;/&gt;&lt;wsp:rsid wsp:val=&quot;00CC27AC&quot;/&gt;&lt;wsp:rsid wsp:val=&quot;00CC303F&quot;/&gt;&lt;wsp:rsid wsp:val=&quot;00CC54D3&quot;/&gt;&lt;wsp:rsid wsp:val=&quot;00CC5FC0&quot;/&gt;&lt;wsp:rsid wsp:val=&quot;00CD0036&quot;/&gt;&lt;wsp:rsid wsp:val=&quot;00CD0485&quot;/&gt;&lt;wsp:rsid wsp:val=&quot;00CD0489&quot;/&gt;&lt;wsp:rsid wsp:val=&quot;00CD2C6D&quot;/&gt;&lt;wsp:rsid wsp:val=&quot;00CD32C1&quot;/&gt;&lt;wsp:rsid wsp:val=&quot;00CD3ACA&quot;/&gt;&lt;wsp:rsid wsp:val=&quot;00CD4499&quot;/&gt;&lt;wsp:rsid wsp:val=&quot;00CD4525&quot;/&gt;&lt;wsp:rsid wsp:val=&quot;00CD45E9&quot;/&gt;&lt;wsp:rsid wsp:val=&quot;00CD461E&quot;/&gt;&lt;wsp:rsid wsp:val=&quot;00CD5207&quot;/&gt;&lt;wsp:rsid wsp:val=&quot;00CD5D94&quot;/&gt;&lt;wsp:rsid wsp:val=&quot;00CE0ADE&quot;/&gt;&lt;wsp:rsid wsp:val=&quot;00CE1BD3&quot;/&gt;&lt;wsp:rsid wsp:val=&quot;00CE2E78&quot;/&gt;&lt;wsp:rsid wsp:val=&quot;00CE32BA&quot;/&gt;&lt;wsp:rsid wsp:val=&quot;00CE3A21&quot;/&gt;&lt;wsp:rsid wsp:val=&quot;00CE442B&quot;/&gt;&lt;wsp:rsid wsp:val=&quot;00CE52D0&quot;/&gt;&lt;wsp:rsid wsp:val=&quot;00CE6CDB&quot;/&gt;&lt;wsp:rsid wsp:val=&quot;00CE76E7&quot;/&gt;&lt;wsp:rsid wsp:val=&quot;00CF08C0&quot;/&gt;&lt;wsp:rsid wsp:val=&quot;00CF0974&quot;/&gt;&lt;wsp:rsid wsp:val=&quot;00CF135F&quot;/&gt;&lt;wsp:rsid wsp:val=&quot;00CF1D87&quot;/&gt;&lt;wsp:rsid wsp:val=&quot;00CF2CF7&quot;/&gt;&lt;wsp:rsid wsp:val=&quot;00CF4629&quot;/&gt;&lt;wsp:rsid wsp:val=&quot;00CF53D8&quot;/&gt;&lt;wsp:rsid wsp:val=&quot;00CF649C&quot;/&gt;&lt;wsp:rsid wsp:val=&quot;00CF6536&quot;/&gt;&lt;wsp:rsid wsp:val=&quot;00CF695A&quot;/&gt;&lt;wsp:rsid wsp:val=&quot;00CF7302&quot;/&gt;&lt;wsp:rsid wsp:val=&quot;00D0028C&quot;/&gt;&lt;wsp:rsid wsp:val=&quot;00D0136D&quot;/&gt;&lt;wsp:rsid wsp:val=&quot;00D02447&quot;/&gt;&lt;wsp:rsid wsp:val=&quot;00D038A8&quot;/&gt;&lt;wsp:rsid wsp:val=&quot;00D039CE&quot;/&gt;&lt;wsp:rsid wsp:val=&quot;00D03C1A&quot;/&gt;&lt;wsp:rsid wsp:val=&quot;00D03E8F&quot;/&gt;&lt;wsp:rsid wsp:val=&quot;00D070D8&quot;/&gt;&lt;wsp:rsid wsp:val=&quot;00D10308&quot;/&gt;&lt;wsp:rsid wsp:val=&quot;00D1089A&quot;/&gt;&lt;wsp:rsid wsp:val=&quot;00D1106D&quot;/&gt;&lt;wsp:rsid wsp:val=&quot;00D11C72&quot;/&gt;&lt;wsp:rsid wsp:val=&quot;00D1231C&quot;/&gt;&lt;wsp:rsid wsp:val=&quot;00D124CC&quot;/&gt;&lt;wsp:rsid wsp:val=&quot;00D13596&quot;/&gt;&lt;wsp:rsid wsp:val=&quot;00D14880&quot;/&gt;&lt;wsp:rsid wsp:val=&quot;00D15BBC&quot;/&gt;&lt;wsp:rsid wsp:val=&quot;00D21546&quot;/&gt;&lt;wsp:rsid wsp:val=&quot;00D22997&quot;/&gt;&lt;wsp:rsid wsp:val=&quot;00D246A8&quot;/&gt;&lt;wsp:rsid wsp:val=&quot;00D27491&quot;/&gt;&lt;wsp:rsid wsp:val=&quot;00D330BB&quot;/&gt;&lt;wsp:rsid wsp:val=&quot;00D3408C&quot;/&gt;&lt;wsp:rsid wsp:val=&quot;00D40199&quot;/&gt;&lt;wsp:rsid wsp:val=&quot;00D407C7&quot;/&gt;&lt;wsp:rsid wsp:val=&quot;00D44DA1&quot;/&gt;&lt;wsp:rsid wsp:val=&quot;00D47A48&quot;/&gt;&lt;wsp:rsid wsp:val=&quot;00D51910&quot;/&gt;&lt;wsp:rsid wsp:val=&quot;00D54D36&quot;/&gt;&lt;wsp:rsid wsp:val=&quot;00D55BE8&quot;/&gt;&lt;wsp:rsid wsp:val=&quot;00D563BA&quot;/&gt;&lt;wsp:rsid wsp:val=&quot;00D56953&quot;/&gt;&lt;wsp:rsid wsp:val=&quot;00D61CE8&quot;/&gt;&lt;wsp:rsid wsp:val=&quot;00D62596&quot;/&gt;&lt;wsp:rsid wsp:val=&quot;00D62ACE&quot;/&gt;&lt;wsp:rsid wsp:val=&quot;00D62D14&quot;/&gt;&lt;wsp:rsid wsp:val=&quot;00D67DFD&quot;/&gt;&lt;wsp:rsid wsp:val=&quot;00D70497&quot;/&gt;&lt;wsp:rsid wsp:val=&quot;00D721F6&quot;/&gt;&lt;wsp:rsid wsp:val=&quot;00D757FD&quot;/&gt;&lt;wsp:rsid wsp:val=&quot;00D77062&quot;/&gt;&lt;wsp:rsid wsp:val=&quot;00D800E8&quot;/&gt;&lt;wsp:rsid wsp:val=&quot;00D803F2&quot;/&gt;&lt;wsp:rsid wsp:val=&quot;00D804B3&quot;/&gt;&lt;wsp:rsid wsp:val=&quot;00D815DD&quot;/&gt;&lt;wsp:rsid wsp:val=&quot;00D817E7&quot;/&gt;&lt;wsp:rsid wsp:val=&quot;00D83F0F&quot;/&gt;&lt;wsp:rsid wsp:val=&quot;00D84B94&quot;/&gt;&lt;wsp:rsid wsp:val=&quot;00D84CB6&quot;/&gt;&lt;wsp:rsid wsp:val=&quot;00D8599D&quot;/&gt;&lt;wsp:rsid wsp:val=&quot;00D86704&quot;/&gt;&lt;wsp:rsid wsp:val=&quot;00D876DA&quot;/&gt;&lt;wsp:rsid wsp:val=&quot;00D87F08&quot;/&gt;&lt;wsp:rsid wsp:val=&quot;00D90A28&quot;/&gt;&lt;wsp:rsid wsp:val=&quot;00D90B65&quot;/&gt;&lt;wsp:rsid wsp:val=&quot;00D912D9&quot;/&gt;&lt;wsp:rsid wsp:val=&quot;00D9291C&quot;/&gt;&lt;wsp:rsid wsp:val=&quot;00D945F5&quot;/&gt;&lt;wsp:rsid wsp:val=&quot;00D94A68&quot;/&gt;&lt;wsp:rsid wsp:val=&quot;00D95016&quot;/&gt;&lt;wsp:rsid wsp:val=&quot;00D9783B&quot;/&gt;&lt;wsp:rsid wsp:val=&quot;00DA051B&quot;/&gt;&lt;wsp:rsid wsp:val=&quot;00DA0A52&quot;/&gt;&lt;wsp:rsid wsp:val=&quot;00DA2640&quot;/&gt;&lt;wsp:rsid wsp:val=&quot;00DA53F8&quot;/&gt;&lt;wsp:rsid wsp:val=&quot;00DA62B4&quot;/&gt;&lt;wsp:rsid wsp:val=&quot;00DA733A&quot;/&gt;&lt;wsp:rsid wsp:val=&quot;00DB3696&quot;/&gt;&lt;wsp:rsid wsp:val=&quot;00DB371B&quot;/&gt;&lt;wsp:rsid wsp:val=&quot;00DB3B15&quot;/&gt;&lt;wsp:rsid wsp:val=&quot;00DC0DC2&quot;/&gt;&lt;wsp:rsid wsp:val=&quot;00DC1595&quot;/&gt;&lt;wsp:rsid wsp:val=&quot;00DC1833&quot;/&gt;&lt;wsp:rsid wsp:val=&quot;00DC214C&quot;/&gt;&lt;wsp:rsid wsp:val=&quot;00DC3FF6&quot;/&gt;&lt;wsp:rsid wsp:val=&quot;00DC5E32&quot;/&gt;&lt;wsp:rsid wsp:val=&quot;00DC6939&quot;/&gt;&lt;wsp:rsid wsp:val=&quot;00DC7463&quot;/&gt;&lt;wsp:rsid wsp:val=&quot;00DC7CFC&quot;/&gt;&lt;wsp:rsid wsp:val=&quot;00DC7E44&quot;/&gt;&lt;wsp:rsid wsp:val=&quot;00DD035A&quot;/&gt;&lt;wsp:rsid wsp:val=&quot;00DD5FE1&quot;/&gt;&lt;wsp:rsid wsp:val=&quot;00DE23EF&quot;/&gt;&lt;wsp:rsid wsp:val=&quot;00DE35FD&quot;/&gt;&lt;wsp:rsid wsp:val=&quot;00DE58E6&quot;/&gt;&lt;wsp:rsid wsp:val=&quot;00DE5CA2&quot;/&gt;&lt;wsp:rsid wsp:val=&quot;00DE71AC&quot;/&gt;&lt;wsp:rsid wsp:val=&quot;00DF066B&quot;/&gt;&lt;wsp:rsid wsp:val=&quot;00DF071F&quot;/&gt;&lt;wsp:rsid wsp:val=&quot;00DF13D6&quot;/&gt;&lt;wsp:rsid wsp:val=&quot;00DF232E&quot;/&gt;&lt;wsp:rsid wsp:val=&quot;00DF2766&quot;/&gt;&lt;wsp:rsid wsp:val=&quot;00DF2AA1&quot;/&gt;&lt;wsp:rsid wsp:val=&quot;00DF2FEE&quot;/&gt;&lt;wsp:rsid wsp:val=&quot;00DF3BE0&quot;/&gt;&lt;wsp:rsid wsp:val=&quot;00DF4CC4&quot;/&gt;&lt;wsp:rsid wsp:val=&quot;00E00697&quot;/&gt;&lt;wsp:rsid wsp:val=&quot;00E008D8&quot;/&gt;&lt;wsp:rsid wsp:val=&quot;00E012E2&quot;/&gt;&lt;wsp:rsid wsp:val=&quot;00E01625&quot;/&gt;&lt;wsp:rsid wsp:val=&quot;00E03806&quot;/&gt;&lt;wsp:rsid wsp:val=&quot;00E102C7&quot;/&gt;&lt;wsp:rsid wsp:val=&quot;00E10409&quot;/&gt;&lt;wsp:rsid wsp:val=&quot;00E10FB9&quot;/&gt;&lt;wsp:rsid wsp:val=&quot;00E11931&quot;/&gt;&lt;wsp:rsid wsp:val=&quot;00E11DE7&quot;/&gt;&lt;wsp:rsid wsp:val=&quot;00E1388F&quot;/&gt;&lt;wsp:rsid wsp:val=&quot;00E14A20&quot;/&gt;&lt;wsp:rsid wsp:val=&quot;00E15050&quot;/&gt;&lt;wsp:rsid wsp:val=&quot;00E17B62&quot;/&gt;&lt;wsp:rsid wsp:val=&quot;00E203CC&quot;/&gt;&lt;wsp:rsid wsp:val=&quot;00E203DE&quot;/&gt;&lt;wsp:rsid wsp:val=&quot;00E206F7&quot;/&gt;&lt;wsp:rsid wsp:val=&quot;00E24E01&quot;/&gt;&lt;wsp:rsid wsp:val=&quot;00E2597D&quot;/&gt;&lt;wsp:rsid wsp:val=&quot;00E260B1&quot;/&gt;&lt;wsp:rsid wsp:val=&quot;00E27264&quot;/&gt;&lt;wsp:rsid wsp:val=&quot;00E308A2&quot;/&gt;&lt;wsp:rsid wsp:val=&quot;00E3141A&quot;/&gt;&lt;wsp:rsid wsp:val=&quot;00E32188&quot;/&gt;&lt;wsp:rsid wsp:val=&quot;00E330F3&quot;/&gt;&lt;wsp:rsid wsp:val=&quot;00E33FDF&quot;/&gt;&lt;wsp:rsid wsp:val=&quot;00E34616&quot;/&gt;&lt;wsp:rsid wsp:val=&quot;00E35AE1&quot;/&gt;&lt;wsp:rsid wsp:val=&quot;00E36216&quot;/&gt;&lt;wsp:rsid wsp:val=&quot;00E36880&quot;/&gt;&lt;wsp:rsid wsp:val=&quot;00E405E6&quot;/&gt;&lt;wsp:rsid wsp:val=&quot;00E4290B&quot;/&gt;&lt;wsp:rsid wsp:val=&quot;00E450FF&quot;/&gt;&lt;wsp:rsid wsp:val=&quot;00E45B64&quot;/&gt;&lt;wsp:rsid wsp:val=&quot;00E50027&quot;/&gt;&lt;wsp:rsid wsp:val=&quot;00E51B09&quot;/&gt;&lt;wsp:rsid wsp:val=&quot;00E51DBD&quot;/&gt;&lt;wsp:rsid wsp:val=&quot;00E54176&quot;/&gt;&lt;wsp:rsid wsp:val=&quot;00E5497C&quot;/&gt;&lt;wsp:rsid wsp:val=&quot;00E551FE&quot;/&gt;&lt;wsp:rsid wsp:val=&quot;00E55A78&quot;/&gt;&lt;wsp:rsid wsp:val=&quot;00E55FE4&quot;/&gt;&lt;wsp:rsid wsp:val=&quot;00E57F50&quot;/&gt;&lt;wsp:rsid wsp:val=&quot;00E607FC&quot;/&gt;&lt;wsp:rsid wsp:val=&quot;00E62B2C&quot;/&gt;&lt;wsp:rsid wsp:val=&quot;00E62B47&quot;/&gt;&lt;wsp:rsid wsp:val=&quot;00E63AE8&quot;/&gt;&lt;wsp:rsid wsp:val=&quot;00E64E43&quot;/&gt;&lt;wsp:rsid wsp:val=&quot;00E66061&quot;/&gt;&lt;wsp:rsid wsp:val=&quot;00E665DE&quot;/&gt;&lt;wsp:rsid wsp:val=&quot;00E70AF9&quot;/&gt;&lt;wsp:rsid wsp:val=&quot;00E710F0&quot;/&gt;&lt;wsp:rsid wsp:val=&quot;00E71F5A&quot;/&gt;&lt;wsp:rsid wsp:val=&quot;00E7230F&quot;/&gt;&lt;wsp:rsid wsp:val=&quot;00E73BC1&quot;/&gt;&lt;wsp:rsid wsp:val=&quot;00E7406D&quot;/&gt;&lt;wsp:rsid wsp:val=&quot;00E747E5&quot;/&gt;&lt;wsp:rsid wsp:val=&quot;00E76DF6&quot;/&gt;&lt;wsp:rsid wsp:val=&quot;00E7728B&quot;/&gt;&lt;wsp:rsid wsp:val=&quot;00E777CC&quot;/&gt;&lt;wsp:rsid wsp:val=&quot;00E77D2B&quot;/&gt;&lt;wsp:rsid wsp:val=&quot;00E8054B&quot;/&gt;&lt;wsp:rsid wsp:val=&quot;00E8123D&quot;/&gt;&lt;wsp:rsid wsp:val=&quot;00E8126E&quot;/&gt;&lt;wsp:rsid wsp:val=&quot;00E82244&quot;/&gt;&lt;wsp:rsid wsp:val=&quot;00E91560&quot;/&gt;&lt;wsp:rsid wsp:val=&quot;00E9284F&quot;/&gt;&lt;wsp:rsid wsp:val=&quot;00E929C0&quot;/&gt;&lt;wsp:rsid wsp:val=&quot;00E93B13&quot;/&gt;&lt;wsp:rsid wsp:val=&quot;00E93DAB&quot;/&gt;&lt;wsp:rsid wsp:val=&quot;00E94C48&quot;/&gt;&lt;wsp:rsid wsp:val=&quot;00E97ABF&quot;/&gt;&lt;wsp:rsid wsp:val=&quot;00EA069C&quot;/&gt;&lt;wsp:rsid wsp:val=&quot;00EA23C3&quot;/&gt;&lt;wsp:rsid wsp:val=&quot;00EA29A2&quot;/&gt;&lt;wsp:rsid wsp:val=&quot;00EA2B25&quot;/&gt;&lt;wsp:rsid wsp:val=&quot;00EA2D55&quot;/&gt;&lt;wsp:rsid wsp:val=&quot;00EA4BCC&quot;/&gt;&lt;wsp:rsid wsp:val=&quot;00EA4CDD&quot;/&gt;&lt;wsp:rsid wsp:val=&quot;00EA4F5A&quot;/&gt;&lt;wsp:rsid wsp:val=&quot;00EA5CF4&quot;/&gt;&lt;wsp:rsid wsp:val=&quot;00EA7141&quot;/&gt;&lt;wsp:rsid wsp:val=&quot;00EB1BD3&quot;/&gt;&lt;wsp:rsid wsp:val=&quot;00EB2CD6&quot;/&gt;&lt;wsp:rsid wsp:val=&quot;00EB2DBB&quot;/&gt;&lt;wsp:rsid wsp:val=&quot;00EB3C6E&quot;/&gt;&lt;wsp:rsid wsp:val=&quot;00EB4BC3&quot;/&gt;&lt;wsp:rsid wsp:val=&quot;00EB4C68&quot;/&gt;&lt;wsp:rsid wsp:val=&quot;00EB5B1E&quot;/&gt;&lt;wsp:rsid wsp:val=&quot;00EC3472&quot;/&gt;&lt;wsp:rsid wsp:val=&quot;00EC42B0&quot;/&gt;&lt;wsp:rsid wsp:val=&quot;00EC4D63&quot;/&gt;&lt;wsp:rsid wsp:val=&quot;00EC4E06&quot;/&gt;&lt;wsp:rsid wsp:val=&quot;00EC6966&quot;/&gt;&lt;wsp:rsid wsp:val=&quot;00EC6D90&quot;/&gt;&lt;wsp:rsid wsp:val=&quot;00EC7761&quot;/&gt;&lt;wsp:rsid wsp:val=&quot;00ED0E21&quot;/&gt;&lt;wsp:rsid wsp:val=&quot;00ED28F8&quot;/&gt;&lt;wsp:rsid wsp:val=&quot;00ED3110&quot;/&gt;&lt;wsp:rsid wsp:val=&quot;00ED44EC&quot;/&gt;&lt;wsp:rsid wsp:val=&quot;00ED5032&quot;/&gt;&lt;wsp:rsid wsp:val=&quot;00ED5FCE&quot;/&gt;&lt;wsp:rsid wsp:val=&quot;00ED62A6&quot;/&gt;&lt;wsp:rsid wsp:val=&quot;00ED6531&quot;/&gt;&lt;wsp:rsid wsp:val=&quot;00ED6EB7&quot;/&gt;&lt;wsp:rsid wsp:val=&quot;00EE0124&quot;/&gt;&lt;wsp:rsid wsp:val=&quot;00EE232C&quot;/&gt;&lt;wsp:rsid wsp:val=&quot;00EE2E55&quot;/&gt;&lt;wsp:rsid wsp:val=&quot;00EE3D18&quot;/&gt;&lt;wsp:rsid wsp:val=&quot;00EE4044&quot;/&gt;&lt;wsp:rsid wsp:val=&quot;00EE7DE9&quot;/&gt;&lt;wsp:rsid wsp:val=&quot;00EE7E19&quot;/&gt;&lt;wsp:rsid wsp:val=&quot;00EF1AB3&quot;/&gt;&lt;wsp:rsid wsp:val=&quot;00EF4D2A&quot;/&gt;&lt;wsp:rsid wsp:val=&quot;00EF4DA8&quot;/&gt;&lt;wsp:rsid wsp:val=&quot;00EF6272&quot;/&gt;&lt;wsp:rsid wsp:val=&quot;00EF6725&quot;/&gt;&lt;wsp:rsid wsp:val=&quot;00EF6BDB&quot;/&gt;&lt;wsp:rsid wsp:val=&quot;00F00D7D&quot;/&gt;&lt;wsp:rsid wsp:val=&quot;00F01CD0&quot;/&gt;&lt;wsp:rsid wsp:val=&quot;00F03029&quot;/&gt;&lt;wsp:rsid wsp:val=&quot;00F036C0&quot;/&gt;&lt;wsp:rsid wsp:val=&quot;00F03F2E&quot;/&gt;&lt;wsp:rsid wsp:val=&quot;00F0437C&quot;/&gt;&lt;wsp:rsid wsp:val=&quot;00F055CE&quot;/&gt;&lt;wsp:rsid wsp:val=&quot;00F0686E&quot;/&gt;&lt;wsp:rsid wsp:val=&quot;00F06BEE&quot;/&gt;&lt;wsp:rsid wsp:val=&quot;00F13D08&quot;/&gt;&lt;wsp:rsid wsp:val=&quot;00F162B9&quot;/&gt;&lt;wsp:rsid wsp:val=&quot;00F17512&quot;/&gt;&lt;wsp:rsid wsp:val=&quot;00F20954&quot;/&gt;&lt;wsp:rsid wsp:val=&quot;00F21D0E&quot;/&gt;&lt;wsp:rsid wsp:val=&quot;00F22A47&quot;/&gt;&lt;wsp:rsid wsp:val=&quot;00F23D7F&quot;/&gt;&lt;wsp:rsid wsp:val=&quot;00F24298&quot;/&gt;&lt;wsp:rsid wsp:val=&quot;00F2432F&quot;/&gt;&lt;wsp:rsid wsp:val=&quot;00F25744&quot;/&gt;&lt;wsp:rsid wsp:val=&quot;00F303E1&quot;/&gt;&lt;wsp:rsid wsp:val=&quot;00F31801&quot;/&gt;&lt;wsp:rsid wsp:val=&quot;00F32B85&quot;/&gt;&lt;wsp:rsid wsp:val=&quot;00F32D6E&quot;/&gt;&lt;wsp:rsid wsp:val=&quot;00F33743&quot;/&gt;&lt;wsp:rsid wsp:val=&quot;00F37688&quot;/&gt;&lt;wsp:rsid wsp:val=&quot;00F4074D&quot;/&gt;&lt;wsp:rsid wsp:val=&quot;00F40A4B&quot;/&gt;&lt;wsp:rsid wsp:val=&quot;00F41800&quot;/&gt;&lt;wsp:rsid wsp:val=&quot;00F4342E&quot;/&gt;&lt;wsp:rsid wsp:val=&quot;00F439C3&quot;/&gt;&lt;wsp:rsid wsp:val=&quot;00F43CA7&quot;/&gt;&lt;wsp:rsid wsp:val=&quot;00F45B72&quot;/&gt;&lt;wsp:rsid wsp:val=&quot;00F463CC&quot;/&gt;&lt;wsp:rsid wsp:val=&quot;00F47899&quot;/&gt;&lt;wsp:rsid wsp:val=&quot;00F479E4&quot;/&gt;&lt;wsp:rsid wsp:val=&quot;00F50ED9&quot;/&gt;&lt;wsp:rsid wsp:val=&quot;00F53ACA&quot;/&gt;&lt;wsp:rsid wsp:val=&quot;00F544C6&quot;/&gt;&lt;wsp:rsid wsp:val=&quot;00F545B0&quot;/&gt;&lt;wsp:rsid wsp:val=&quot;00F54BCB&quot;/&gt;&lt;wsp:rsid wsp:val=&quot;00F55B37&quot;/&gt;&lt;wsp:rsid wsp:val=&quot;00F564E1&quot;/&gt;&lt;wsp:rsid wsp:val=&quot;00F56A5A&quot;/&gt;&lt;wsp:rsid wsp:val=&quot;00F605F1&quot;/&gt;&lt;wsp:rsid wsp:val=&quot;00F65928&quot;/&gt;&lt;wsp:rsid wsp:val=&quot;00F677C1&quot;/&gt;&lt;wsp:rsid wsp:val=&quot;00F67D32&quot;/&gt;&lt;wsp:rsid wsp:val=&quot;00F70D1A&quot;/&gt;&lt;wsp:rsid wsp:val=&quot;00F7158A&quot;/&gt;&lt;wsp:rsid wsp:val=&quot;00F72CBD&quot;/&gt;&lt;wsp:rsid wsp:val=&quot;00F72E1C&quot;/&gt;&lt;wsp:rsid wsp:val=&quot;00F733AF&quot;/&gt;&lt;wsp:rsid wsp:val=&quot;00F74735&quot;/&gt;&lt;wsp:rsid wsp:val=&quot;00F74D8A&quot;/&gt;&lt;wsp:rsid wsp:val=&quot;00F74EA6&quot;/&gt;&lt;wsp:rsid wsp:val=&quot;00F75C64&quot;/&gt;&lt;wsp:rsid wsp:val=&quot;00F762AB&quot;/&gt;&lt;wsp:rsid wsp:val=&quot;00F821FA&quot;/&gt;&lt;wsp:rsid wsp:val=&quot;00F8325C&quot;/&gt;&lt;wsp:rsid wsp:val=&quot;00F83884&quot;/&gt;&lt;wsp:rsid wsp:val=&quot;00F85F13&quot;/&gt;&lt;wsp:rsid wsp:val=&quot;00F86053&quot;/&gt;&lt;wsp:rsid wsp:val=&quot;00F86EB9&quot;/&gt;&lt;wsp:rsid wsp:val=&quot;00F87820&quot;/&gt;&lt;wsp:rsid wsp:val=&quot;00F904BD&quot;/&gt;&lt;wsp:rsid wsp:val=&quot;00F91057&quot;/&gt;&lt;wsp:rsid wsp:val=&quot;00F91C6A&quot;/&gt;&lt;wsp:rsid wsp:val=&quot;00F91D1A&quot;/&gt;&lt;wsp:rsid wsp:val=&quot;00F938D0&quot;/&gt;&lt;wsp:rsid wsp:val=&quot;00F943A4&quot;/&gt;&lt;wsp:rsid wsp:val=&quot;00F9449D&quot;/&gt;&lt;wsp:rsid wsp:val=&quot;00FA1CC6&quot;/&gt;&lt;wsp:rsid wsp:val=&quot;00FA4ACE&quot;/&gt;&lt;wsp:rsid wsp:val=&quot;00FA4C48&quot;/&gt;&lt;wsp:rsid wsp:val=&quot;00FA7CD3&quot;/&gt;&lt;wsp:rsid wsp:val=&quot;00FB0474&quot;/&gt;&lt;wsp:rsid wsp:val=&quot;00FB0A86&quot;/&gt;&lt;wsp:rsid wsp:val=&quot;00FB2E56&quot;/&gt;&lt;wsp:rsid wsp:val=&quot;00FB412B&quot;/&gt;&lt;wsp:rsid wsp:val=&quot;00FB43F8&quot;/&gt;&lt;wsp:rsid wsp:val=&quot;00FB4589&quot;/&gt;&lt;wsp:rsid wsp:val=&quot;00FB5C38&quot;/&gt;&lt;wsp:rsid wsp:val=&quot;00FB6452&quot;/&gt;&lt;wsp:rsid wsp:val=&quot;00FB776C&quot;/&gt;&lt;wsp:rsid wsp:val=&quot;00FB7F25&quot;/&gt;&lt;wsp:rsid wsp:val=&quot;00FC011B&quot;/&gt;&lt;wsp:rsid wsp:val=&quot;00FC04F9&quot;/&gt;&lt;wsp:rsid wsp:val=&quot;00FC0E0A&quot;/&gt;&lt;wsp:rsid wsp:val=&quot;00FC217F&quot;/&gt;&lt;wsp:rsid wsp:val=&quot;00FC2BCA&quot;/&gt;&lt;wsp:rsid wsp:val=&quot;00FC7019&quot;/&gt;&lt;wsp:rsid wsp:val=&quot;00FC798C&quot;/&gt;&lt;wsp:rsid wsp:val=&quot;00FD18B3&quot;/&gt;&lt;wsp:rsid wsp:val=&quot;00FD55D7&quot;/&gt;&lt;wsp:rsid wsp:val=&quot;00FD6D5C&quot;/&gt;&lt;wsp:rsid wsp:val=&quot;00FD7901&quot;/&gt;&lt;wsp:rsid wsp:val=&quot;00FD7BA1&quot;/&gt;&lt;wsp:rsid wsp:val=&quot;00FE02D6&quot;/&gt;&lt;wsp:rsid wsp:val=&quot;00FE07FC&quot;/&gt;&lt;wsp:rsid wsp:val=&quot;00FE08B6&quot;/&gt;&lt;wsp:rsid wsp:val=&quot;00FE4D3E&quot;/&gt;&lt;wsp:rsid wsp:val=&quot;00FE63B9&quot;/&gt;&lt;wsp:rsid wsp:val=&quot;00FE70C1&quot;/&gt;&lt;wsp:rsid wsp:val=&quot;00FF0833&quot;/&gt;&lt;wsp:rsid wsp:val=&quot;00FF1C23&quot;/&gt;&lt;wsp:rsid wsp:val=&quot;00FF1EC8&quot;/&gt;&lt;wsp:rsid wsp:val=&quot;00FF2A21&quot;/&gt;&lt;wsp:rsid wsp:val=&quot;00FF39EB&quot;/&gt;&lt;wsp:rsid wsp:val=&quot;00FF3CD3&quot;/&gt;&lt;wsp:rsid wsp:val=&quot;00FF5263&quot;/&gt;&lt;wsp:rsid wsp:val=&quot;00FF537D&quot;/&gt;&lt;wsp:rsid wsp:val=&quot;00FF798B&quot;/&gt;&lt;/wsp:rsids&gt;&lt;/w:docPr&gt;&lt;w:body&gt;&lt;w:p wsp:rsidR=&quot;00000000&quot; wsp:rsidRDefault=&quot;00683DE8&quot;&gt;&lt;m:oMathPara&gt;&lt;m:oMath&gt;&lt;m:d&gt;&lt;m:dPr&gt;&lt;m:ctrlPr&gt;&lt;w:rPr&gt;&lt;w:rFonts w:ascii=&quot;Cambria Math&quot; w:fareast=&quot;Times New Roman&quot; w:h-ansi=&quot;Cambria Math&quot; w:cs=&quot;Calibri Light&quot;/&gt;&lt;wx:font wx:val=&quot;Cambria Math&quot;/&gt;&lt;w:i/&gt;&lt;w:lang w:val=&quot;ES-TRAD&quot;/&gt;&lt;/w:rPr&gt;&lt;/m:ctrlPr&gt;&lt;/m:dPr&gt;&lt;m:e&gt;&lt;m:r&gt;&lt;w:rPr&gt;&lt;w:rFonts w:ascii=&quot;Cambria Math&quot; w:fareast=&quot;Times New Roman&quot; w:h-ansi=&quot;Cambria Math&quot; w:cs=&quot;Calibri Light&quot;/&gt;&lt;wx:font wx:val=&quot;Cambria Math&quot;/&gt;&lt;w:i/&gt;&lt;w:lang w:val=&quot;ES-TRAD&quot;/&gt;&lt;/w:rPr&gt;&lt;m:t&gt;â†”&lt;/m:t&gt;&lt;/m:r&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88" o:title="" chromakey="white"/>
                </v:shape>
              </w:pict>
            </w:r>
            <w:r w:rsidRPr="00746D5F">
              <w:rPr>
                <w:rFonts w:ascii="Calibri" w:hAnsi="Calibri" w:cs="Calibri"/>
                <w:sz w:val="22"/>
                <w:lang w:val="es-ES_tradnl"/>
              </w:rPr>
              <w:fldChar w:fldCharType="end"/>
            </w:r>
            <w:r w:rsidRPr="00746D5F">
              <w:rPr>
                <w:rFonts w:ascii="Calibri" w:hAnsi="Calibri" w:cs="Calibri"/>
                <w:sz w:val="22"/>
                <w:lang w:val="es-ES_tradnl"/>
              </w:rPr>
              <w:t xml:space="preserve"> Significa que no se impone ninguna restricción a la respuesta.</w:t>
            </w:r>
          </w:p>
        </w:tc>
      </w:tr>
    </w:tbl>
    <w:p w14:paraId="6E18109F" w14:textId="77777777" w:rsidR="00746D5F" w:rsidRPr="00746D5F" w:rsidRDefault="00746D5F" w:rsidP="00746D5F">
      <w:pPr>
        <w:spacing w:line="355" w:lineRule="auto"/>
        <w:rPr>
          <w:rFonts w:ascii="Calibri" w:hAnsi="Calibri" w:cs="Calibri"/>
          <w:sz w:val="22"/>
          <w:lang w:val="es-ES_tradnl"/>
        </w:rPr>
      </w:pPr>
      <w:r w:rsidRPr="00746D5F">
        <w:rPr>
          <w:rFonts w:ascii="Calibri" w:hAnsi="Calibri" w:cs="Calibri"/>
          <w:sz w:val="22"/>
          <w:lang w:val="es-ES_tradnl"/>
        </w:rPr>
        <w:t>Fuente: Elaboración propia.</w:t>
      </w:r>
    </w:p>
    <w:p w14:paraId="2815BF1A" w14:textId="77777777" w:rsidR="00746D5F" w:rsidRPr="009D2092" w:rsidRDefault="00746D5F" w:rsidP="00ED5999">
      <w:pPr>
        <w:autoSpaceDE w:val="0"/>
        <w:autoSpaceDN w:val="0"/>
        <w:adjustRightInd w:val="0"/>
        <w:jc w:val="both"/>
        <w:rPr>
          <w:szCs w:val="24"/>
          <w:lang w:val="es-ES_tradnl"/>
        </w:rPr>
      </w:pPr>
    </w:p>
    <w:p w14:paraId="45BC6084" w14:textId="3699A52E" w:rsidR="008063A8" w:rsidRPr="00554A60" w:rsidRDefault="006B3519" w:rsidP="00E548C6">
      <w:pPr>
        <w:pStyle w:val="Resumen"/>
        <w:rPr>
          <w:rFonts w:asciiTheme="minorHAnsi" w:hAnsiTheme="minorHAnsi" w:cstheme="minorHAnsi"/>
          <w:smallCaps/>
          <w:sz w:val="24"/>
          <w:lang w:val="es-ES_tradnl"/>
        </w:rPr>
      </w:pPr>
      <w:r w:rsidRPr="00554A60">
        <w:rPr>
          <w:rFonts w:asciiTheme="minorHAnsi" w:hAnsiTheme="minorHAnsi" w:cstheme="minorHAnsi"/>
          <w:smallCaps/>
          <w:sz w:val="24"/>
          <w:lang w:val="es-ES_tradnl"/>
        </w:rPr>
        <w:t>Conclusiones</w:t>
      </w:r>
    </w:p>
    <w:p w14:paraId="288C9C84" w14:textId="6694F212" w:rsidR="002F40CC" w:rsidRPr="00643883" w:rsidRDefault="00746D5F" w:rsidP="00746D5F">
      <w:pPr>
        <w:jc w:val="both"/>
        <w:rPr>
          <w:rFonts w:asciiTheme="minorHAnsi" w:hAnsiTheme="minorHAnsi" w:cstheme="minorHAnsi"/>
          <w:sz w:val="22"/>
          <w:lang w:val="es-ES_tradnl"/>
        </w:rPr>
      </w:pPr>
      <w:r w:rsidRPr="00746D5F">
        <w:rPr>
          <w:rFonts w:asciiTheme="minorHAnsi" w:hAnsiTheme="minorHAnsi" w:cstheme="minorHAnsi"/>
          <w:sz w:val="22"/>
          <w:lang w:val="es-ES_tradnl"/>
        </w:rPr>
        <w:t>Este trabajo presenta un modelo semi-estructural para una pequeña economía abierta, calibrado a la realidad colombiana, que permite analizar la dinámica macroeconómica ante distintos choques. Se encuentra que los efectos de las innovaciones sobre variables clave tienen una duración media de 20 trimestres, pero con impactos permanentes que alteran significativamente el estado estacionario. Las simulaciones muestran que las respuestas de las variables de control son altamente sensibles a la calibración de los parámetros estructurales, lo cual exige estimaciones precisas. En este sentido, el método de momentos generalizados (GMM) se confirma como un enfoque eficiente, al corregir problemas de endogeneidad y asegurar estimaciones coherentes con la realidad económica. Además, el análisis revela cómo factores externos como la apertura comercial, crisis energéticas o conflictos geopolíticos han afectado la economía colombiana, condicionando el crecimiento, la inflación y el empleo. El modelo se constituye así en una herramienta útil para mejorar las decisiones de política monetaria, al permitir evaluar el impacto de variaciones en parámetros clave y reducir la incertidumbre en el mediano plazo. Sin embargo, el enfoque se limita a la acción del banco central, dejando como futura línea de investigación la interacción entre política monetaria y fiscal, considerando el papel del gobierno en el diseño de respuestas macroeconómicas integrales</w:t>
      </w:r>
      <w:r>
        <w:rPr>
          <w:rFonts w:asciiTheme="minorHAnsi" w:hAnsiTheme="minorHAnsi" w:cstheme="minorHAnsi"/>
          <w:sz w:val="22"/>
          <w:lang w:val="es-ES_tradnl"/>
        </w:rPr>
        <w:t>.</w:t>
      </w:r>
    </w:p>
    <w:p w14:paraId="186B70B8" w14:textId="5388184D" w:rsidR="006C15F7" w:rsidRPr="00554A60" w:rsidRDefault="006C15F7" w:rsidP="00E548C6">
      <w:pPr>
        <w:pStyle w:val="Resumen"/>
        <w:rPr>
          <w:rFonts w:asciiTheme="minorHAnsi" w:hAnsiTheme="minorHAnsi" w:cstheme="minorHAnsi"/>
          <w:smallCaps/>
          <w:sz w:val="24"/>
          <w:lang w:val="es-ES_tradnl"/>
        </w:rPr>
      </w:pPr>
      <w:r w:rsidRPr="00554A60">
        <w:rPr>
          <w:rFonts w:asciiTheme="minorHAnsi" w:hAnsiTheme="minorHAnsi" w:cstheme="minorHAnsi"/>
          <w:smallCaps/>
          <w:sz w:val="24"/>
          <w:lang w:val="es-ES_tradnl"/>
        </w:rPr>
        <w:t>Referenc</w:t>
      </w:r>
      <w:r w:rsidR="006B3519" w:rsidRPr="00554A60">
        <w:rPr>
          <w:rFonts w:asciiTheme="minorHAnsi" w:hAnsiTheme="minorHAnsi" w:cstheme="minorHAnsi"/>
          <w:smallCaps/>
          <w:sz w:val="24"/>
          <w:lang w:val="es-ES_tradnl"/>
        </w:rPr>
        <w:t>ias</w:t>
      </w:r>
    </w:p>
    <w:p w14:paraId="44CC6781" w14:textId="77777777" w:rsidR="005A0F96" w:rsidRPr="005A0F96" w:rsidRDefault="005A0F96" w:rsidP="005A0F96">
      <w:pPr>
        <w:rPr>
          <w:rFonts w:ascii="Calibri" w:hAnsi="Calibri" w:cs="Calibri"/>
          <w:sz w:val="22"/>
        </w:rPr>
      </w:pPr>
      <w:r w:rsidRPr="005A0F96">
        <w:rPr>
          <w:rFonts w:ascii="Calibri" w:hAnsi="Calibri" w:cs="Calibri"/>
          <w:sz w:val="22"/>
        </w:rPr>
        <w:t xml:space="preserve">Botero G, J., Hurtado Rendón, Á., Franco G, H., &amp; García Guzmán, J. (2018, July-December). Monetary policy and accumulation of reserves in an emerging economy: A DSGE model for the Colombian case. Revista de Economía del Rosario, 21(2), 309-339. </w:t>
      </w:r>
      <w:hyperlink r:id="rId89" w:history="1">
        <w:r w:rsidRPr="005A0F96">
          <w:rPr>
            <w:rStyle w:val="Hipervnculo"/>
            <w:rFonts w:ascii="Calibri" w:hAnsi="Calibri" w:cs="Calibri"/>
            <w:sz w:val="22"/>
          </w:rPr>
          <w:t>http://dx.doi.org/10.12804/revistas.urosario.edu.co/economia/a.6802</w:t>
        </w:r>
      </w:hyperlink>
    </w:p>
    <w:p w14:paraId="70ABA0E5" w14:textId="77777777" w:rsidR="005A0F96" w:rsidRPr="005A0F96" w:rsidRDefault="005A0F96" w:rsidP="005A0F96">
      <w:pPr>
        <w:rPr>
          <w:rFonts w:ascii="Calibri" w:hAnsi="Calibri" w:cs="Calibri"/>
          <w:sz w:val="22"/>
        </w:rPr>
      </w:pPr>
    </w:p>
    <w:p w14:paraId="034853A7" w14:textId="77777777" w:rsidR="005A0F96" w:rsidRPr="005A0F96" w:rsidRDefault="005A0F96" w:rsidP="005A0F96">
      <w:pPr>
        <w:rPr>
          <w:rFonts w:ascii="Calibri" w:hAnsi="Calibri" w:cs="Calibri"/>
          <w:sz w:val="22"/>
        </w:rPr>
      </w:pPr>
      <w:r w:rsidRPr="005A0F96">
        <w:rPr>
          <w:rFonts w:ascii="Calibri" w:hAnsi="Calibri" w:cs="Calibri"/>
          <w:sz w:val="22"/>
        </w:rPr>
        <w:lastRenderedPageBreak/>
        <w:t xml:space="preserve">Dornbusch, R., Fischer, S., &amp; Startz, R. (2011). Macroeconomía (11th ed.). Londres: McGraw-Hill. </w:t>
      </w:r>
    </w:p>
    <w:p w14:paraId="08BDD4DC" w14:textId="77777777" w:rsidR="005A0F96" w:rsidRPr="005A0F96" w:rsidRDefault="005A0F96" w:rsidP="005A0F96">
      <w:pPr>
        <w:rPr>
          <w:rFonts w:ascii="Calibri" w:hAnsi="Calibri" w:cs="Calibri"/>
          <w:sz w:val="22"/>
        </w:rPr>
      </w:pPr>
    </w:p>
    <w:p w14:paraId="759BAF52" w14:textId="77777777" w:rsidR="005A0F96" w:rsidRPr="005A0F96" w:rsidRDefault="005A0F96" w:rsidP="005A0F96">
      <w:pPr>
        <w:rPr>
          <w:rFonts w:ascii="Calibri" w:hAnsi="Calibri" w:cs="Calibri"/>
          <w:sz w:val="22"/>
        </w:rPr>
      </w:pPr>
      <w:r w:rsidRPr="005A0F96">
        <w:rPr>
          <w:rFonts w:ascii="Calibri" w:hAnsi="Calibri" w:cs="Calibri"/>
          <w:sz w:val="22"/>
        </w:rPr>
        <w:t>Hammond, G. (2011). State of the art of inflation targeting. Londres: Centre for Central Banking Studies.</w:t>
      </w:r>
    </w:p>
    <w:p w14:paraId="70A1E4D9" w14:textId="77777777" w:rsidR="005A0F96" w:rsidRPr="005A0F96" w:rsidRDefault="005A0F96" w:rsidP="005A0F96">
      <w:pPr>
        <w:rPr>
          <w:rFonts w:ascii="Calibri" w:hAnsi="Calibri" w:cs="Calibri"/>
          <w:sz w:val="22"/>
        </w:rPr>
      </w:pPr>
    </w:p>
    <w:p w14:paraId="0DD54482" w14:textId="77777777" w:rsidR="005A0F96" w:rsidRPr="005A0F96" w:rsidRDefault="005A0F96" w:rsidP="005A0F96">
      <w:pPr>
        <w:rPr>
          <w:rFonts w:ascii="Calibri" w:hAnsi="Calibri" w:cs="Calibri"/>
          <w:sz w:val="22"/>
        </w:rPr>
      </w:pPr>
      <w:r w:rsidRPr="005A0F96">
        <w:rPr>
          <w:rFonts w:ascii="Calibri" w:hAnsi="Calibri" w:cs="Calibri"/>
          <w:sz w:val="22"/>
        </w:rPr>
        <w:t>Pardo Pardo, G. O. y Clavijo Cortés, P. H. (2018, enero-junio). Una evaluación de la estrategia de inflación objetivo en Colombia. Revista Finanzas y Política Económica, 10(1), 189-210. http://dx.doi.org/10.14718/revfinanzpolitecon.2018.10.1.8</w:t>
      </w:r>
    </w:p>
    <w:p w14:paraId="4C8E2380" w14:textId="07BAB1EB" w:rsidR="00247391" w:rsidRDefault="00247391" w:rsidP="005632A7">
      <w:pPr>
        <w:pStyle w:val="Texto"/>
        <w:rPr>
          <w:rFonts w:asciiTheme="minorHAnsi" w:hAnsiTheme="minorHAnsi" w:cstheme="minorHAnsi"/>
          <w:sz w:val="22"/>
          <w:lang w:val="es-ES_tradnl"/>
        </w:rPr>
      </w:pPr>
    </w:p>
    <w:sectPr w:rsidR="00247391" w:rsidSect="0021466B">
      <w:headerReference w:type="even" r:id="rId90"/>
      <w:headerReference w:type="first" r:id="rId91"/>
      <w:type w:val="continuous"/>
      <w:pgSz w:w="12240" w:h="15840"/>
      <w:pgMar w:top="1701" w:right="1701" w:bottom="1701" w:left="1701" w:header="720" w:footer="72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F4E58" w14:textId="77777777" w:rsidR="009B31E4" w:rsidRDefault="009B31E4" w:rsidP="00D34832">
      <w:r>
        <w:separator/>
      </w:r>
    </w:p>
  </w:endnote>
  <w:endnote w:type="continuationSeparator" w:id="0">
    <w:p w14:paraId="3322D529" w14:textId="77777777" w:rsidR="009B31E4" w:rsidRDefault="009B31E4" w:rsidP="00D3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Títulos en alf">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venir LT Std 65 Medium">
    <w:altName w:val="Arial"/>
    <w:panose1 w:val="02000603020000020003"/>
    <w:charset w:val="00"/>
    <w:family w:val="swiss"/>
    <w:pitch w:val="default"/>
  </w:font>
  <w:font w:name="Times New Roman (Cuerpo en alfa">
    <w:altName w:val="Times New Roman"/>
    <w:panose1 w:val="020B0604020202020204"/>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FF875" w14:textId="77777777" w:rsidR="009B31E4" w:rsidRDefault="009B31E4" w:rsidP="00D34832">
      <w:r>
        <w:separator/>
      </w:r>
    </w:p>
  </w:footnote>
  <w:footnote w:type="continuationSeparator" w:id="0">
    <w:p w14:paraId="5F791FDA" w14:textId="77777777" w:rsidR="009B31E4" w:rsidRDefault="009B31E4" w:rsidP="00D34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68718" w14:textId="01FC8E90" w:rsidR="00F556A8" w:rsidRPr="00F556A8" w:rsidRDefault="00F556A8" w:rsidP="008F3480">
    <w:pPr>
      <w:pStyle w:val="Texto"/>
      <w:jc w:val="center"/>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9045" w14:textId="2B9A33CA" w:rsidR="003B4C7A" w:rsidRPr="00314F08" w:rsidRDefault="003B4C7A" w:rsidP="003B4C7A">
    <w:pPr>
      <w:pStyle w:val="Encabezado"/>
      <w:jc w:val="right"/>
    </w:pPr>
    <w:r w:rsidRPr="003B4C7A">
      <w:rPr>
        <w:rFonts w:ascii="Helvetica" w:hAnsi="Helvetica"/>
        <w:sz w:val="20"/>
        <w:szCs w:val="20"/>
        <w:lang w:val="es-CO"/>
      </w:rPr>
      <w:t xml:space="preserve">Análisis del comercio </w:t>
    </w:r>
    <w:r w:rsidR="00866D52">
      <w:rPr>
        <w:rFonts w:ascii="Helvetica" w:hAnsi="Helvetica"/>
        <w:sz w:val="20"/>
        <w:szCs w:val="20"/>
        <w:lang w:val="es-CO"/>
      </w:rPr>
      <w:t xml:space="preserve">en </w:t>
    </w:r>
    <w:r w:rsidRPr="003B4C7A">
      <w:rPr>
        <w:rFonts w:ascii="Helvetica" w:hAnsi="Helvetica"/>
        <w:sz w:val="20"/>
        <w:szCs w:val="20"/>
        <w:lang w:val="es-CO"/>
      </w:rPr>
      <w:t>Colombia</w:t>
    </w:r>
    <w:r>
      <w:rPr>
        <w:rFonts w:ascii="Helvetica" w:hAnsi="Helvetica"/>
        <w:sz w:val="20"/>
        <w:szCs w:val="20"/>
        <w:lang w:val="es-CO"/>
      </w:rPr>
      <w:t xml:space="preserve">: </w:t>
    </w:r>
    <w:r w:rsidRPr="003B4C7A">
      <w:rPr>
        <w:rFonts w:ascii="Helvetica" w:hAnsi="Helvetica"/>
        <w:sz w:val="20"/>
        <w:szCs w:val="20"/>
        <w:lang w:val="es-CO"/>
      </w:rPr>
      <w:t>Unión Europea desde el uso de los indicadores de comercio exterior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D55E2"/>
    <w:multiLevelType w:val="hybridMultilevel"/>
    <w:tmpl w:val="2B98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3488B"/>
    <w:multiLevelType w:val="hybridMultilevel"/>
    <w:tmpl w:val="760AD254"/>
    <w:lvl w:ilvl="0" w:tplc="0F826684">
      <w:start w:val="1"/>
      <w:numFmt w:val="bullet"/>
      <w:lvlText w:val=""/>
      <w:lvlJc w:val="left"/>
      <w:pPr>
        <w:ind w:left="113" w:hanging="113"/>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50A245F"/>
    <w:multiLevelType w:val="hybridMultilevel"/>
    <w:tmpl w:val="9D4C037C"/>
    <w:lvl w:ilvl="0" w:tplc="134828BE">
      <w:start w:val="1"/>
      <w:numFmt w:val="decimal"/>
      <w:lvlText w:val="%1."/>
      <w:lvlJc w:val="left"/>
      <w:pPr>
        <w:ind w:left="780" w:hanging="4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054C02"/>
    <w:multiLevelType w:val="hybridMultilevel"/>
    <w:tmpl w:val="37E6D668"/>
    <w:lvl w:ilvl="0" w:tplc="0F826684">
      <w:start w:val="1"/>
      <w:numFmt w:val="bullet"/>
      <w:lvlText w:val=""/>
      <w:lvlJc w:val="left"/>
      <w:pPr>
        <w:ind w:left="113" w:hanging="113"/>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BC35A24"/>
    <w:multiLevelType w:val="multilevel"/>
    <w:tmpl w:val="419C8AF8"/>
    <w:lvl w:ilvl="0">
      <w:start w:val="1"/>
      <w:numFmt w:val="decimal"/>
      <w:pStyle w:val="Ttulo1"/>
      <w:lvlText w:val="%1"/>
      <w:lvlJc w:val="left"/>
      <w:pPr>
        <w:ind w:left="432" w:hanging="432"/>
      </w:pPr>
      <w:rPr>
        <w:rFonts w:ascii="Helvetica Neue" w:hAnsi="Helvetica Neue" w:hint="default"/>
      </w:rPr>
    </w:lvl>
    <w:lvl w:ilvl="1">
      <w:start w:val="1"/>
      <w:numFmt w:val="decimal"/>
      <w:pStyle w:val="Ttulo2"/>
      <w:lvlText w:val="%1.%2"/>
      <w:lvlJc w:val="left"/>
      <w:pPr>
        <w:ind w:left="576" w:hanging="576"/>
      </w:pPr>
      <w:rPr>
        <w:rFonts w:ascii="Helvetica Neue" w:hAnsi="Helvetica Neue" w:hint="default"/>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4A1A007C"/>
    <w:multiLevelType w:val="multilevel"/>
    <w:tmpl w:val="ABF42E0C"/>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F9170D"/>
    <w:multiLevelType w:val="hybridMultilevel"/>
    <w:tmpl w:val="10DAB6A4"/>
    <w:lvl w:ilvl="0" w:tplc="74F0922C">
      <w:start w:val="1"/>
      <w:numFmt w:val="decimal"/>
      <w:lvlText w:val="%1."/>
      <w:lvlJc w:val="left"/>
      <w:pPr>
        <w:ind w:left="1060" w:hanging="70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5CCF341A"/>
    <w:multiLevelType w:val="hybridMultilevel"/>
    <w:tmpl w:val="4D9CC3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1EE37F4"/>
    <w:multiLevelType w:val="hybridMultilevel"/>
    <w:tmpl w:val="89642150"/>
    <w:lvl w:ilvl="0" w:tplc="ACC80776">
      <w:numFmt w:val="bullet"/>
      <w:lvlText w:val="-"/>
      <w:lvlJc w:val="left"/>
      <w:pPr>
        <w:tabs>
          <w:tab w:val="num" w:pos="360"/>
        </w:tabs>
        <w:ind w:left="360" w:hanging="360"/>
      </w:pPr>
      <w:rPr>
        <w:rFonts w:ascii="Arial" w:eastAsia="Times New Roman"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CF41AE5"/>
    <w:multiLevelType w:val="hybridMultilevel"/>
    <w:tmpl w:val="DB6E907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708C0BB7"/>
    <w:multiLevelType w:val="hybridMultilevel"/>
    <w:tmpl w:val="D0BC3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10134F"/>
    <w:multiLevelType w:val="multilevel"/>
    <w:tmpl w:val="071059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3011651">
    <w:abstractNumId w:val="0"/>
  </w:num>
  <w:num w:numId="2" w16cid:durableId="1804930571">
    <w:abstractNumId w:val="8"/>
  </w:num>
  <w:num w:numId="3" w16cid:durableId="749890780">
    <w:abstractNumId w:val="11"/>
  </w:num>
  <w:num w:numId="4" w16cid:durableId="1099368135">
    <w:abstractNumId w:val="5"/>
  </w:num>
  <w:num w:numId="5" w16cid:durableId="1647081297">
    <w:abstractNumId w:val="12"/>
  </w:num>
  <w:num w:numId="6" w16cid:durableId="1186360803">
    <w:abstractNumId w:val="7"/>
  </w:num>
  <w:num w:numId="7" w16cid:durableId="1638144766">
    <w:abstractNumId w:val="10"/>
  </w:num>
  <w:num w:numId="8" w16cid:durableId="977876681">
    <w:abstractNumId w:val="6"/>
  </w:num>
  <w:num w:numId="9" w16cid:durableId="686907597">
    <w:abstractNumId w:val="4"/>
  </w:num>
  <w:num w:numId="10" w16cid:durableId="588851808">
    <w:abstractNumId w:val="2"/>
  </w:num>
  <w:num w:numId="11" w16cid:durableId="813332450">
    <w:abstractNumId w:val="3"/>
  </w:num>
  <w:num w:numId="12" w16cid:durableId="2137942490">
    <w:abstractNumId w:val="1"/>
  </w:num>
  <w:num w:numId="13" w16cid:durableId="568266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587"/>
    <w:rsid w:val="00001830"/>
    <w:rsid w:val="00006133"/>
    <w:rsid w:val="00041843"/>
    <w:rsid w:val="0004238B"/>
    <w:rsid w:val="00047110"/>
    <w:rsid w:val="00065FDB"/>
    <w:rsid w:val="00081697"/>
    <w:rsid w:val="0008347B"/>
    <w:rsid w:val="0009745E"/>
    <w:rsid w:val="000B3228"/>
    <w:rsid w:val="000B5907"/>
    <w:rsid w:val="000C270B"/>
    <w:rsid w:val="000C29E9"/>
    <w:rsid w:val="000D4D8B"/>
    <w:rsid w:val="000F42F3"/>
    <w:rsid w:val="000F7476"/>
    <w:rsid w:val="001064A0"/>
    <w:rsid w:val="00106587"/>
    <w:rsid w:val="00113876"/>
    <w:rsid w:val="001207C3"/>
    <w:rsid w:val="00135AB4"/>
    <w:rsid w:val="00137D52"/>
    <w:rsid w:val="001A4E3D"/>
    <w:rsid w:val="001B24D8"/>
    <w:rsid w:val="001B2D7F"/>
    <w:rsid w:val="001B39B4"/>
    <w:rsid w:val="001B7679"/>
    <w:rsid w:val="001C4024"/>
    <w:rsid w:val="001D2D52"/>
    <w:rsid w:val="001F06D6"/>
    <w:rsid w:val="00202BCE"/>
    <w:rsid w:val="00203417"/>
    <w:rsid w:val="00212351"/>
    <w:rsid w:val="0021466B"/>
    <w:rsid w:val="00236187"/>
    <w:rsid w:val="00247391"/>
    <w:rsid w:val="002608BD"/>
    <w:rsid w:val="00262656"/>
    <w:rsid w:val="00273290"/>
    <w:rsid w:val="00275B2E"/>
    <w:rsid w:val="002A3E62"/>
    <w:rsid w:val="002A7579"/>
    <w:rsid w:val="002E6FD5"/>
    <w:rsid w:val="002F40CC"/>
    <w:rsid w:val="002F79DD"/>
    <w:rsid w:val="003011CF"/>
    <w:rsid w:val="00314A2A"/>
    <w:rsid w:val="00314F08"/>
    <w:rsid w:val="003203BB"/>
    <w:rsid w:val="00334C37"/>
    <w:rsid w:val="00340FAC"/>
    <w:rsid w:val="0034354A"/>
    <w:rsid w:val="00352028"/>
    <w:rsid w:val="003A2824"/>
    <w:rsid w:val="003B0D9B"/>
    <w:rsid w:val="003B4C7A"/>
    <w:rsid w:val="003C1C58"/>
    <w:rsid w:val="003F008A"/>
    <w:rsid w:val="00402682"/>
    <w:rsid w:val="004032AC"/>
    <w:rsid w:val="00410F5E"/>
    <w:rsid w:val="00411588"/>
    <w:rsid w:val="004175AB"/>
    <w:rsid w:val="00420AD9"/>
    <w:rsid w:val="00433D4D"/>
    <w:rsid w:val="00465096"/>
    <w:rsid w:val="00474F9B"/>
    <w:rsid w:val="004825B5"/>
    <w:rsid w:val="00483E1B"/>
    <w:rsid w:val="00484CC7"/>
    <w:rsid w:val="004939CB"/>
    <w:rsid w:val="004A5F95"/>
    <w:rsid w:val="004B6702"/>
    <w:rsid w:val="004E0C3B"/>
    <w:rsid w:val="00516CEE"/>
    <w:rsid w:val="00517E56"/>
    <w:rsid w:val="005202F1"/>
    <w:rsid w:val="00542DF4"/>
    <w:rsid w:val="00546988"/>
    <w:rsid w:val="00550679"/>
    <w:rsid w:val="00551466"/>
    <w:rsid w:val="00554A60"/>
    <w:rsid w:val="00556A6D"/>
    <w:rsid w:val="005609CA"/>
    <w:rsid w:val="005632A7"/>
    <w:rsid w:val="00565EE1"/>
    <w:rsid w:val="00567D25"/>
    <w:rsid w:val="00572AA7"/>
    <w:rsid w:val="00587FDF"/>
    <w:rsid w:val="005A0F96"/>
    <w:rsid w:val="005C19B0"/>
    <w:rsid w:val="005C7C24"/>
    <w:rsid w:val="005D74C1"/>
    <w:rsid w:val="00603F69"/>
    <w:rsid w:val="006110D6"/>
    <w:rsid w:val="00620307"/>
    <w:rsid w:val="00635340"/>
    <w:rsid w:val="00641FD9"/>
    <w:rsid w:val="00643883"/>
    <w:rsid w:val="00661D9F"/>
    <w:rsid w:val="00665A7B"/>
    <w:rsid w:val="00666459"/>
    <w:rsid w:val="006714FB"/>
    <w:rsid w:val="006A3F95"/>
    <w:rsid w:val="006B3519"/>
    <w:rsid w:val="006B4E27"/>
    <w:rsid w:val="006B6E91"/>
    <w:rsid w:val="006C15F7"/>
    <w:rsid w:val="006C1757"/>
    <w:rsid w:val="006C41FA"/>
    <w:rsid w:val="006C6CBF"/>
    <w:rsid w:val="006D2CD0"/>
    <w:rsid w:val="006E0D33"/>
    <w:rsid w:val="006F1721"/>
    <w:rsid w:val="006F6D28"/>
    <w:rsid w:val="00702E17"/>
    <w:rsid w:val="00712205"/>
    <w:rsid w:val="00730649"/>
    <w:rsid w:val="00733C04"/>
    <w:rsid w:val="00735BAE"/>
    <w:rsid w:val="00737D1F"/>
    <w:rsid w:val="00746D5F"/>
    <w:rsid w:val="007560DE"/>
    <w:rsid w:val="00761236"/>
    <w:rsid w:val="00765AD2"/>
    <w:rsid w:val="00776557"/>
    <w:rsid w:val="00787233"/>
    <w:rsid w:val="007D14B7"/>
    <w:rsid w:val="007E024B"/>
    <w:rsid w:val="007E6E12"/>
    <w:rsid w:val="007F09D1"/>
    <w:rsid w:val="008052CB"/>
    <w:rsid w:val="008063A8"/>
    <w:rsid w:val="008110B9"/>
    <w:rsid w:val="008208FD"/>
    <w:rsid w:val="0082524F"/>
    <w:rsid w:val="008449DB"/>
    <w:rsid w:val="00845E17"/>
    <w:rsid w:val="008473D0"/>
    <w:rsid w:val="00853AF0"/>
    <w:rsid w:val="00861A85"/>
    <w:rsid w:val="00866D52"/>
    <w:rsid w:val="008853B6"/>
    <w:rsid w:val="00886FA4"/>
    <w:rsid w:val="008933D7"/>
    <w:rsid w:val="008B62F3"/>
    <w:rsid w:val="008D1D4D"/>
    <w:rsid w:val="008E5523"/>
    <w:rsid w:val="008F3480"/>
    <w:rsid w:val="008F7774"/>
    <w:rsid w:val="0090107A"/>
    <w:rsid w:val="00925EE1"/>
    <w:rsid w:val="009307C3"/>
    <w:rsid w:val="00935E0E"/>
    <w:rsid w:val="00945201"/>
    <w:rsid w:val="00953A6D"/>
    <w:rsid w:val="0097211E"/>
    <w:rsid w:val="00980665"/>
    <w:rsid w:val="009806FB"/>
    <w:rsid w:val="009942A1"/>
    <w:rsid w:val="00996D96"/>
    <w:rsid w:val="009979A4"/>
    <w:rsid w:val="009B31E4"/>
    <w:rsid w:val="009C0D5B"/>
    <w:rsid w:val="009C2768"/>
    <w:rsid w:val="009E69D1"/>
    <w:rsid w:val="009F5FFD"/>
    <w:rsid w:val="00A120F2"/>
    <w:rsid w:val="00A13935"/>
    <w:rsid w:val="00A148A7"/>
    <w:rsid w:val="00A36A63"/>
    <w:rsid w:val="00A6206D"/>
    <w:rsid w:val="00A71ACD"/>
    <w:rsid w:val="00A7526E"/>
    <w:rsid w:val="00A77359"/>
    <w:rsid w:val="00A83A0C"/>
    <w:rsid w:val="00A85F2B"/>
    <w:rsid w:val="00A8656A"/>
    <w:rsid w:val="00A9064F"/>
    <w:rsid w:val="00AA4A86"/>
    <w:rsid w:val="00AA74A9"/>
    <w:rsid w:val="00AB6B3F"/>
    <w:rsid w:val="00AB7B96"/>
    <w:rsid w:val="00AC5588"/>
    <w:rsid w:val="00AC5F04"/>
    <w:rsid w:val="00AE0AE8"/>
    <w:rsid w:val="00AE2112"/>
    <w:rsid w:val="00AF63B1"/>
    <w:rsid w:val="00B00C2D"/>
    <w:rsid w:val="00B01DA8"/>
    <w:rsid w:val="00B044A5"/>
    <w:rsid w:val="00B16A0B"/>
    <w:rsid w:val="00B40848"/>
    <w:rsid w:val="00B86D9E"/>
    <w:rsid w:val="00B91025"/>
    <w:rsid w:val="00B91419"/>
    <w:rsid w:val="00B96DE9"/>
    <w:rsid w:val="00BA18C2"/>
    <w:rsid w:val="00BA315C"/>
    <w:rsid w:val="00BA7E01"/>
    <w:rsid w:val="00BB2F00"/>
    <w:rsid w:val="00BC19C5"/>
    <w:rsid w:val="00BC47D6"/>
    <w:rsid w:val="00BD7AC5"/>
    <w:rsid w:val="00BE0074"/>
    <w:rsid w:val="00BE462E"/>
    <w:rsid w:val="00BF0F87"/>
    <w:rsid w:val="00BF164D"/>
    <w:rsid w:val="00C14DD4"/>
    <w:rsid w:val="00C22EEA"/>
    <w:rsid w:val="00C306E3"/>
    <w:rsid w:val="00C41023"/>
    <w:rsid w:val="00C6008C"/>
    <w:rsid w:val="00C65C66"/>
    <w:rsid w:val="00C7773A"/>
    <w:rsid w:val="00C8090A"/>
    <w:rsid w:val="00C92C04"/>
    <w:rsid w:val="00C9466F"/>
    <w:rsid w:val="00C96011"/>
    <w:rsid w:val="00CA6B38"/>
    <w:rsid w:val="00CC1C16"/>
    <w:rsid w:val="00CC6625"/>
    <w:rsid w:val="00CE1CB1"/>
    <w:rsid w:val="00CE21B6"/>
    <w:rsid w:val="00CF0042"/>
    <w:rsid w:val="00D01283"/>
    <w:rsid w:val="00D158BE"/>
    <w:rsid w:val="00D171D0"/>
    <w:rsid w:val="00D34832"/>
    <w:rsid w:val="00D4762A"/>
    <w:rsid w:val="00D607BF"/>
    <w:rsid w:val="00D734F2"/>
    <w:rsid w:val="00D76EC0"/>
    <w:rsid w:val="00D84BC9"/>
    <w:rsid w:val="00D93CD7"/>
    <w:rsid w:val="00DB0820"/>
    <w:rsid w:val="00DB2089"/>
    <w:rsid w:val="00DB3466"/>
    <w:rsid w:val="00DD3912"/>
    <w:rsid w:val="00DE39DB"/>
    <w:rsid w:val="00E02239"/>
    <w:rsid w:val="00E303B1"/>
    <w:rsid w:val="00E42A3D"/>
    <w:rsid w:val="00E45214"/>
    <w:rsid w:val="00E531D2"/>
    <w:rsid w:val="00E548C6"/>
    <w:rsid w:val="00E61791"/>
    <w:rsid w:val="00E9426F"/>
    <w:rsid w:val="00E95D12"/>
    <w:rsid w:val="00EA1A95"/>
    <w:rsid w:val="00EC1E8B"/>
    <w:rsid w:val="00EC5202"/>
    <w:rsid w:val="00EC58B7"/>
    <w:rsid w:val="00ED5999"/>
    <w:rsid w:val="00ED6721"/>
    <w:rsid w:val="00EE2782"/>
    <w:rsid w:val="00EE70C6"/>
    <w:rsid w:val="00EF0287"/>
    <w:rsid w:val="00F15935"/>
    <w:rsid w:val="00F4565B"/>
    <w:rsid w:val="00F556A8"/>
    <w:rsid w:val="00F63647"/>
    <w:rsid w:val="00FB10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77C48"/>
  <w15:chartTrackingRefBased/>
  <w15:docId w15:val="{E07D1D23-5709-3C43-B5B3-C87ECC14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CBF"/>
    <w:rPr>
      <w:rFonts w:ascii="Arial" w:hAnsi="Arial" w:cs="Arial"/>
      <w:szCs w:val="22"/>
      <w:lang w:val="es-MX"/>
    </w:rPr>
  </w:style>
  <w:style w:type="paragraph" w:styleId="Ttulo1">
    <w:name w:val="heading 1"/>
    <w:basedOn w:val="Normal"/>
    <w:next w:val="Normal"/>
    <w:link w:val="Ttulo1Car"/>
    <w:uiPriority w:val="9"/>
    <w:qFormat/>
    <w:rsid w:val="008052CB"/>
    <w:pPr>
      <w:keepNext/>
      <w:keepLines/>
      <w:numPr>
        <w:numId w:val="4"/>
      </w:numPr>
      <w:spacing w:before="240"/>
      <w:jc w:val="both"/>
      <w:outlineLvl w:val="0"/>
    </w:pPr>
    <w:rPr>
      <w:rFonts w:ascii="Helvetica Neue" w:eastAsiaTheme="majorEastAsia" w:hAnsi="Helvetica Neue" w:cs="Times New Roman (Títulos en alf"/>
      <w:b/>
      <w:smallCaps/>
      <w:sz w:val="26"/>
      <w:szCs w:val="32"/>
    </w:rPr>
  </w:style>
  <w:style w:type="paragraph" w:styleId="Ttulo2">
    <w:name w:val="heading 2"/>
    <w:basedOn w:val="Normal"/>
    <w:next w:val="Normal"/>
    <w:link w:val="Ttulo2Car"/>
    <w:uiPriority w:val="9"/>
    <w:unhideWhenUsed/>
    <w:qFormat/>
    <w:rsid w:val="008052CB"/>
    <w:pPr>
      <w:keepNext/>
      <w:keepLines/>
      <w:numPr>
        <w:ilvl w:val="1"/>
        <w:numId w:val="4"/>
      </w:numPr>
      <w:spacing w:before="120" w:after="120"/>
      <w:jc w:val="both"/>
      <w:outlineLvl w:val="1"/>
    </w:pPr>
    <w:rPr>
      <w:rFonts w:ascii="Helvetica Neue" w:eastAsiaTheme="majorEastAsia" w:hAnsi="Helvetica Neue" w:cstheme="majorBidi"/>
      <w:i/>
      <w:szCs w:val="26"/>
    </w:rPr>
  </w:style>
  <w:style w:type="paragraph" w:styleId="Ttulo3">
    <w:name w:val="heading 3"/>
    <w:basedOn w:val="Normal"/>
    <w:next w:val="Normal"/>
    <w:link w:val="Ttulo3Car"/>
    <w:uiPriority w:val="9"/>
    <w:semiHidden/>
    <w:unhideWhenUsed/>
    <w:qFormat/>
    <w:rsid w:val="00787233"/>
    <w:pPr>
      <w:keepNext/>
      <w:keepLines/>
      <w:numPr>
        <w:ilvl w:val="2"/>
        <w:numId w:val="4"/>
      </w:numPr>
      <w:spacing w:before="40"/>
      <w:outlineLvl w:val="2"/>
    </w:pPr>
    <w:rPr>
      <w:rFonts w:asciiTheme="majorHAnsi" w:eastAsiaTheme="majorEastAsia" w:hAnsiTheme="majorHAnsi" w:cstheme="majorBidi"/>
      <w:color w:val="1F3763" w:themeColor="accent1" w:themeShade="7F"/>
      <w:szCs w:val="24"/>
    </w:rPr>
  </w:style>
  <w:style w:type="paragraph" w:styleId="Ttulo4">
    <w:name w:val="heading 4"/>
    <w:basedOn w:val="Normal"/>
    <w:next w:val="Normal"/>
    <w:link w:val="Ttulo4Car"/>
    <w:uiPriority w:val="9"/>
    <w:semiHidden/>
    <w:unhideWhenUsed/>
    <w:qFormat/>
    <w:rsid w:val="00787233"/>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87233"/>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787233"/>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87233"/>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87233"/>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87233"/>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C15F7"/>
    <w:rPr>
      <w:color w:val="0563C1" w:themeColor="hyperlink"/>
      <w:u w:val="single"/>
    </w:rPr>
  </w:style>
  <w:style w:type="paragraph" w:styleId="Textonotapie">
    <w:name w:val="footnote text"/>
    <w:basedOn w:val="Normal"/>
    <w:link w:val="TextonotapieCar"/>
    <w:uiPriority w:val="99"/>
    <w:unhideWhenUsed/>
    <w:rsid w:val="006C15F7"/>
    <w:rPr>
      <w:rFonts w:asciiTheme="minorHAnsi" w:hAnsiTheme="minorHAnsi" w:cstheme="minorBidi"/>
      <w:sz w:val="20"/>
      <w:szCs w:val="20"/>
    </w:rPr>
  </w:style>
  <w:style w:type="character" w:customStyle="1" w:styleId="TextonotapieCar">
    <w:name w:val="Texto nota pie Car"/>
    <w:basedOn w:val="Fuentedeprrafopredeter"/>
    <w:link w:val="Textonotapie"/>
    <w:uiPriority w:val="99"/>
    <w:rsid w:val="006C15F7"/>
    <w:rPr>
      <w:sz w:val="20"/>
      <w:szCs w:val="20"/>
      <w:lang w:val="es-MX"/>
    </w:rPr>
  </w:style>
  <w:style w:type="paragraph" w:styleId="Prrafodelista">
    <w:name w:val="List Paragraph"/>
    <w:basedOn w:val="Normal"/>
    <w:uiPriority w:val="99"/>
    <w:qFormat/>
    <w:rsid w:val="006C15F7"/>
    <w:pPr>
      <w:ind w:left="720"/>
      <w:contextualSpacing/>
    </w:pPr>
  </w:style>
  <w:style w:type="table" w:styleId="Tablaconcuadrcula">
    <w:name w:val="Table Grid"/>
    <w:basedOn w:val="Tablanormal"/>
    <w:uiPriority w:val="59"/>
    <w:rsid w:val="006C15F7"/>
    <w:pPr>
      <w:ind w:firstLine="709"/>
    </w:pPr>
    <w:rPr>
      <w:rFonts w:eastAsiaTheme="minorEastAsia"/>
      <w:sz w:val="22"/>
      <w:szCs w:val="22"/>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C15F7"/>
    <w:pPr>
      <w:suppressAutoHyphens/>
      <w:autoSpaceDN w:val="0"/>
      <w:spacing w:after="160" w:line="251" w:lineRule="auto"/>
      <w:textAlignment w:val="baseline"/>
    </w:pPr>
    <w:rPr>
      <w:rFonts w:ascii="Calibri" w:eastAsia="SimSun" w:hAnsi="Calibri" w:cs="Calibri"/>
      <w:kern w:val="3"/>
      <w:sz w:val="22"/>
      <w:szCs w:val="22"/>
      <w:lang w:val="es-MX"/>
    </w:rPr>
  </w:style>
  <w:style w:type="paragraph" w:customStyle="1" w:styleId="Default">
    <w:name w:val="Default"/>
    <w:rsid w:val="006C15F7"/>
    <w:pPr>
      <w:suppressAutoHyphens/>
      <w:autoSpaceDN w:val="0"/>
      <w:textAlignment w:val="baseline"/>
    </w:pPr>
    <w:rPr>
      <w:rFonts w:ascii="Avenir LT Std 65 Medium" w:eastAsia="Calibri" w:hAnsi="Avenir LT Std 65 Medium" w:cs="Avenir LT Std 65 Medium"/>
      <w:color w:val="000000"/>
      <w:kern w:val="3"/>
      <w:lang w:val="es-MX"/>
    </w:rPr>
  </w:style>
  <w:style w:type="paragraph" w:styleId="HTMLconformatoprevio">
    <w:name w:val="HTML Preformatted"/>
    <w:basedOn w:val="Normal"/>
    <w:link w:val="HTMLconformatoprevioCar"/>
    <w:uiPriority w:val="99"/>
    <w:unhideWhenUsed/>
    <w:rsid w:val="006C1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6C15F7"/>
    <w:rPr>
      <w:rFonts w:ascii="Courier New" w:eastAsia="Times New Roman" w:hAnsi="Courier New" w:cs="Courier New"/>
      <w:sz w:val="20"/>
      <w:szCs w:val="20"/>
      <w:lang w:val="es-MX" w:eastAsia="es-MX"/>
    </w:rPr>
  </w:style>
  <w:style w:type="character" w:customStyle="1" w:styleId="Ttulo1Car">
    <w:name w:val="Título 1 Car"/>
    <w:basedOn w:val="Fuentedeprrafopredeter"/>
    <w:link w:val="Ttulo1"/>
    <w:uiPriority w:val="9"/>
    <w:rsid w:val="008052CB"/>
    <w:rPr>
      <w:rFonts w:ascii="Helvetica Neue" w:eastAsiaTheme="majorEastAsia" w:hAnsi="Helvetica Neue" w:cs="Times New Roman (Títulos en alf"/>
      <w:b/>
      <w:smallCaps/>
      <w:sz w:val="26"/>
      <w:szCs w:val="32"/>
      <w:lang w:val="es-MX"/>
    </w:rPr>
  </w:style>
  <w:style w:type="paragraph" w:styleId="Ttulo">
    <w:name w:val="Title"/>
    <w:aliases w:val="Título del paper"/>
    <w:basedOn w:val="Normal"/>
    <w:next w:val="Normal"/>
    <w:link w:val="TtuloCar"/>
    <w:uiPriority w:val="10"/>
    <w:qFormat/>
    <w:rsid w:val="00212351"/>
    <w:pPr>
      <w:spacing w:after="240"/>
      <w:contextualSpacing/>
      <w:jc w:val="center"/>
    </w:pPr>
    <w:rPr>
      <w:rFonts w:ascii="Helvetica Neue" w:eastAsiaTheme="majorEastAsia" w:hAnsi="Helvetica Neue" w:cs="Times New Roman (Títulos en alf"/>
      <w:b/>
      <w:smallCaps/>
      <w:spacing w:val="-10"/>
      <w:kern w:val="28"/>
      <w:sz w:val="36"/>
      <w:szCs w:val="56"/>
    </w:rPr>
  </w:style>
  <w:style w:type="character" w:customStyle="1" w:styleId="TtuloCar">
    <w:name w:val="Título Car"/>
    <w:aliases w:val="Título del paper Car"/>
    <w:basedOn w:val="Fuentedeprrafopredeter"/>
    <w:link w:val="Ttulo"/>
    <w:uiPriority w:val="10"/>
    <w:rsid w:val="00212351"/>
    <w:rPr>
      <w:rFonts w:ascii="Helvetica Neue" w:eastAsiaTheme="majorEastAsia" w:hAnsi="Helvetica Neue" w:cs="Times New Roman (Títulos en alf"/>
      <w:b/>
      <w:smallCaps/>
      <w:spacing w:val="-10"/>
      <w:kern w:val="28"/>
      <w:sz w:val="36"/>
      <w:szCs w:val="56"/>
      <w:lang w:val="es-MX"/>
    </w:rPr>
  </w:style>
  <w:style w:type="paragraph" w:customStyle="1" w:styleId="Autores">
    <w:name w:val="Autores"/>
    <w:basedOn w:val="Textonotapie"/>
    <w:qFormat/>
    <w:rsid w:val="007D14B7"/>
    <w:pPr>
      <w:jc w:val="center"/>
    </w:pPr>
    <w:rPr>
      <w:rFonts w:ascii="Helvetica Neue" w:hAnsi="Helvetica Neue" w:cs="Times New Roman (Cuerpo en alfa"/>
      <w:b/>
      <w:sz w:val="24"/>
      <w:szCs w:val="26"/>
    </w:rPr>
  </w:style>
  <w:style w:type="character" w:customStyle="1" w:styleId="Mencinsinresolver1">
    <w:name w:val="Mención sin resolver1"/>
    <w:basedOn w:val="Fuentedeprrafopredeter"/>
    <w:uiPriority w:val="99"/>
    <w:semiHidden/>
    <w:unhideWhenUsed/>
    <w:rsid w:val="008D1D4D"/>
    <w:rPr>
      <w:color w:val="605E5C"/>
      <w:shd w:val="clear" w:color="auto" w:fill="E1DFDD"/>
    </w:rPr>
  </w:style>
  <w:style w:type="paragraph" w:customStyle="1" w:styleId="filiacin">
    <w:name w:val="filiación"/>
    <w:basedOn w:val="Autores"/>
    <w:qFormat/>
    <w:rsid w:val="0034354A"/>
    <w:pPr>
      <w:spacing w:after="60"/>
    </w:pPr>
    <w:rPr>
      <w:b w:val="0"/>
      <w:i/>
      <w:sz w:val="22"/>
    </w:rPr>
  </w:style>
  <w:style w:type="character" w:styleId="Hipervnculovisitado">
    <w:name w:val="FollowedHyperlink"/>
    <w:basedOn w:val="Fuentedeprrafopredeter"/>
    <w:uiPriority w:val="99"/>
    <w:semiHidden/>
    <w:unhideWhenUsed/>
    <w:rsid w:val="008D1D4D"/>
    <w:rPr>
      <w:color w:val="954F72" w:themeColor="followedHyperlink"/>
      <w:u w:val="single"/>
    </w:rPr>
  </w:style>
  <w:style w:type="paragraph" w:customStyle="1" w:styleId="Resumen">
    <w:name w:val="Resumen"/>
    <w:basedOn w:val="Normal"/>
    <w:qFormat/>
    <w:rsid w:val="00635340"/>
    <w:pPr>
      <w:spacing w:before="120" w:after="120"/>
      <w:jc w:val="both"/>
    </w:pPr>
    <w:rPr>
      <w:rFonts w:ascii="Helvetica Neue" w:hAnsi="Helvetica Neue" w:cs="Times New Roman"/>
      <w:b/>
      <w:i/>
      <w:sz w:val="18"/>
      <w:szCs w:val="24"/>
      <w:lang w:val="en-US"/>
    </w:rPr>
  </w:style>
  <w:style w:type="paragraph" w:customStyle="1" w:styleId="Texto">
    <w:name w:val="Texto"/>
    <w:basedOn w:val="Normal"/>
    <w:qFormat/>
    <w:rsid w:val="008052CB"/>
    <w:pPr>
      <w:spacing w:before="120" w:after="120"/>
      <w:ind w:firstLine="284"/>
      <w:jc w:val="both"/>
    </w:pPr>
    <w:rPr>
      <w:rFonts w:ascii="Helvetica Neue" w:hAnsi="Helvetica Neue"/>
      <w:lang w:val="en-US"/>
    </w:rPr>
  </w:style>
  <w:style w:type="character" w:customStyle="1" w:styleId="Ttulo2Car">
    <w:name w:val="Título 2 Car"/>
    <w:basedOn w:val="Fuentedeprrafopredeter"/>
    <w:link w:val="Ttulo2"/>
    <w:uiPriority w:val="9"/>
    <w:rsid w:val="008052CB"/>
    <w:rPr>
      <w:rFonts w:ascii="Helvetica Neue" w:eastAsiaTheme="majorEastAsia" w:hAnsi="Helvetica Neue" w:cstheme="majorBidi"/>
      <w:i/>
      <w:szCs w:val="26"/>
      <w:lang w:val="es-MX"/>
    </w:rPr>
  </w:style>
  <w:style w:type="character" w:customStyle="1" w:styleId="Ttulo3Car">
    <w:name w:val="Título 3 Car"/>
    <w:basedOn w:val="Fuentedeprrafopredeter"/>
    <w:link w:val="Ttulo3"/>
    <w:uiPriority w:val="9"/>
    <w:semiHidden/>
    <w:rsid w:val="00787233"/>
    <w:rPr>
      <w:rFonts w:asciiTheme="majorHAnsi" w:eastAsiaTheme="majorEastAsia" w:hAnsiTheme="majorHAnsi" w:cstheme="majorBidi"/>
      <w:color w:val="1F3763" w:themeColor="accent1" w:themeShade="7F"/>
      <w:lang w:val="es-MX"/>
    </w:rPr>
  </w:style>
  <w:style w:type="character" w:customStyle="1" w:styleId="Ttulo4Car">
    <w:name w:val="Título 4 Car"/>
    <w:basedOn w:val="Fuentedeprrafopredeter"/>
    <w:link w:val="Ttulo4"/>
    <w:uiPriority w:val="9"/>
    <w:semiHidden/>
    <w:rsid w:val="00787233"/>
    <w:rPr>
      <w:rFonts w:asciiTheme="majorHAnsi" w:eastAsiaTheme="majorEastAsia" w:hAnsiTheme="majorHAnsi" w:cstheme="majorBidi"/>
      <w:i/>
      <w:iCs/>
      <w:color w:val="2F5496" w:themeColor="accent1" w:themeShade="BF"/>
      <w:szCs w:val="22"/>
      <w:lang w:val="es-MX"/>
    </w:rPr>
  </w:style>
  <w:style w:type="character" w:customStyle="1" w:styleId="Ttulo5Car">
    <w:name w:val="Título 5 Car"/>
    <w:basedOn w:val="Fuentedeprrafopredeter"/>
    <w:link w:val="Ttulo5"/>
    <w:uiPriority w:val="9"/>
    <w:semiHidden/>
    <w:rsid w:val="00787233"/>
    <w:rPr>
      <w:rFonts w:asciiTheme="majorHAnsi" w:eastAsiaTheme="majorEastAsia" w:hAnsiTheme="majorHAnsi" w:cstheme="majorBidi"/>
      <w:color w:val="2F5496" w:themeColor="accent1" w:themeShade="BF"/>
      <w:szCs w:val="22"/>
      <w:lang w:val="es-MX"/>
    </w:rPr>
  </w:style>
  <w:style w:type="character" w:customStyle="1" w:styleId="Ttulo6Car">
    <w:name w:val="Título 6 Car"/>
    <w:basedOn w:val="Fuentedeprrafopredeter"/>
    <w:link w:val="Ttulo6"/>
    <w:uiPriority w:val="9"/>
    <w:semiHidden/>
    <w:rsid w:val="00787233"/>
    <w:rPr>
      <w:rFonts w:asciiTheme="majorHAnsi" w:eastAsiaTheme="majorEastAsia" w:hAnsiTheme="majorHAnsi" w:cstheme="majorBidi"/>
      <w:color w:val="1F3763" w:themeColor="accent1" w:themeShade="7F"/>
      <w:szCs w:val="22"/>
      <w:lang w:val="es-MX"/>
    </w:rPr>
  </w:style>
  <w:style w:type="character" w:customStyle="1" w:styleId="Ttulo7Car">
    <w:name w:val="Título 7 Car"/>
    <w:basedOn w:val="Fuentedeprrafopredeter"/>
    <w:link w:val="Ttulo7"/>
    <w:uiPriority w:val="9"/>
    <w:semiHidden/>
    <w:rsid w:val="00787233"/>
    <w:rPr>
      <w:rFonts w:asciiTheme="majorHAnsi" w:eastAsiaTheme="majorEastAsia" w:hAnsiTheme="majorHAnsi" w:cstheme="majorBidi"/>
      <w:i/>
      <w:iCs/>
      <w:color w:val="1F3763" w:themeColor="accent1" w:themeShade="7F"/>
      <w:szCs w:val="22"/>
      <w:lang w:val="es-MX"/>
    </w:rPr>
  </w:style>
  <w:style w:type="character" w:customStyle="1" w:styleId="Ttulo8Car">
    <w:name w:val="Título 8 Car"/>
    <w:basedOn w:val="Fuentedeprrafopredeter"/>
    <w:link w:val="Ttulo8"/>
    <w:uiPriority w:val="9"/>
    <w:semiHidden/>
    <w:rsid w:val="00787233"/>
    <w:rPr>
      <w:rFonts w:asciiTheme="majorHAnsi" w:eastAsiaTheme="majorEastAsia" w:hAnsiTheme="majorHAnsi" w:cstheme="majorBidi"/>
      <w:color w:val="272727" w:themeColor="text1" w:themeTint="D8"/>
      <w:sz w:val="21"/>
      <w:szCs w:val="21"/>
      <w:lang w:val="es-MX"/>
    </w:rPr>
  </w:style>
  <w:style w:type="character" w:customStyle="1" w:styleId="Ttulo9Car">
    <w:name w:val="Título 9 Car"/>
    <w:basedOn w:val="Fuentedeprrafopredeter"/>
    <w:link w:val="Ttulo9"/>
    <w:uiPriority w:val="9"/>
    <w:semiHidden/>
    <w:rsid w:val="00787233"/>
    <w:rPr>
      <w:rFonts w:asciiTheme="majorHAnsi" w:eastAsiaTheme="majorEastAsia" w:hAnsiTheme="majorHAnsi" w:cstheme="majorBidi"/>
      <w:i/>
      <w:iCs/>
      <w:color w:val="272727" w:themeColor="text1" w:themeTint="D8"/>
      <w:sz w:val="21"/>
      <w:szCs w:val="21"/>
      <w:lang w:val="es-MX"/>
    </w:rPr>
  </w:style>
  <w:style w:type="paragraph" w:customStyle="1" w:styleId="Tablaencabezado">
    <w:name w:val="Tabla encabezado"/>
    <w:basedOn w:val="Texto"/>
    <w:qFormat/>
    <w:rsid w:val="00765AD2"/>
    <w:pPr>
      <w:spacing w:before="240"/>
    </w:pPr>
    <w:rPr>
      <w:b/>
      <w:smallCaps/>
      <w:sz w:val="16"/>
    </w:rPr>
  </w:style>
  <w:style w:type="paragraph" w:customStyle="1" w:styleId="Tabla">
    <w:name w:val="Tabla"/>
    <w:basedOn w:val="Texto"/>
    <w:qFormat/>
    <w:rsid w:val="00BD7AC5"/>
    <w:pPr>
      <w:autoSpaceDE w:val="0"/>
      <w:autoSpaceDN w:val="0"/>
      <w:adjustRightInd w:val="0"/>
      <w:snapToGrid w:val="0"/>
      <w:spacing w:before="0" w:after="0"/>
      <w:ind w:firstLine="0"/>
    </w:pPr>
    <w:rPr>
      <w:rFonts w:cs="Times New Roman"/>
      <w:sz w:val="16"/>
      <w:szCs w:val="24"/>
    </w:rPr>
  </w:style>
  <w:style w:type="paragraph" w:customStyle="1" w:styleId="Referencias">
    <w:name w:val="Referencias"/>
    <w:basedOn w:val="Texto"/>
    <w:qFormat/>
    <w:rsid w:val="008052CB"/>
    <w:pPr>
      <w:spacing w:before="60"/>
      <w:ind w:left="284" w:hanging="284"/>
    </w:pPr>
    <w:rPr>
      <w:sz w:val="18"/>
    </w:rPr>
  </w:style>
  <w:style w:type="paragraph" w:styleId="Textodeglobo">
    <w:name w:val="Balloon Text"/>
    <w:basedOn w:val="Normal"/>
    <w:link w:val="TextodegloboCar"/>
    <w:uiPriority w:val="99"/>
    <w:semiHidden/>
    <w:unhideWhenUsed/>
    <w:rsid w:val="00D734F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734F2"/>
    <w:rPr>
      <w:rFonts w:ascii="Times New Roman" w:hAnsi="Times New Roman" w:cs="Times New Roman"/>
      <w:sz w:val="18"/>
      <w:szCs w:val="18"/>
      <w:lang w:val="es-MX"/>
    </w:rPr>
  </w:style>
  <w:style w:type="paragraph" w:styleId="Encabezado">
    <w:name w:val="header"/>
    <w:basedOn w:val="Normal"/>
    <w:link w:val="EncabezadoCar"/>
    <w:uiPriority w:val="99"/>
    <w:unhideWhenUsed/>
    <w:rsid w:val="00D34832"/>
    <w:pPr>
      <w:tabs>
        <w:tab w:val="center" w:pos="4419"/>
        <w:tab w:val="right" w:pos="8838"/>
      </w:tabs>
    </w:pPr>
  </w:style>
  <w:style w:type="character" w:customStyle="1" w:styleId="EncabezadoCar">
    <w:name w:val="Encabezado Car"/>
    <w:basedOn w:val="Fuentedeprrafopredeter"/>
    <w:link w:val="Encabezado"/>
    <w:uiPriority w:val="99"/>
    <w:rsid w:val="00D34832"/>
    <w:rPr>
      <w:rFonts w:ascii="Arial" w:hAnsi="Arial" w:cs="Arial"/>
      <w:szCs w:val="22"/>
      <w:lang w:val="es-MX"/>
    </w:rPr>
  </w:style>
  <w:style w:type="paragraph" w:styleId="Piedepgina">
    <w:name w:val="footer"/>
    <w:basedOn w:val="Normal"/>
    <w:link w:val="PiedepginaCar"/>
    <w:uiPriority w:val="99"/>
    <w:unhideWhenUsed/>
    <w:rsid w:val="00D34832"/>
    <w:pPr>
      <w:tabs>
        <w:tab w:val="center" w:pos="4419"/>
        <w:tab w:val="right" w:pos="8838"/>
      </w:tabs>
    </w:pPr>
  </w:style>
  <w:style w:type="character" w:customStyle="1" w:styleId="PiedepginaCar">
    <w:name w:val="Pie de página Car"/>
    <w:basedOn w:val="Fuentedeprrafopredeter"/>
    <w:link w:val="Piedepgina"/>
    <w:uiPriority w:val="99"/>
    <w:rsid w:val="00D34832"/>
    <w:rPr>
      <w:rFonts w:ascii="Arial" w:hAnsi="Arial" w:cs="Arial"/>
      <w:szCs w:val="22"/>
      <w:lang w:val="es-MX"/>
    </w:rPr>
  </w:style>
  <w:style w:type="paragraph" w:styleId="NormalWeb">
    <w:name w:val="Normal (Web)"/>
    <w:basedOn w:val="Normal"/>
    <w:uiPriority w:val="99"/>
    <w:unhideWhenUsed/>
    <w:rsid w:val="00DB0820"/>
    <w:pPr>
      <w:spacing w:before="100" w:beforeAutospacing="1" w:after="100" w:afterAutospacing="1"/>
    </w:pPr>
    <w:rPr>
      <w:rFonts w:ascii="Times New Roman" w:eastAsia="Times New Roman" w:hAnsi="Times New Roman" w:cs="Times New Roman"/>
      <w:szCs w:val="24"/>
      <w:lang w:val="es-CO" w:eastAsia="es-CO"/>
    </w:rPr>
  </w:style>
  <w:style w:type="character" w:styleId="Refdecomentario">
    <w:name w:val="annotation reference"/>
    <w:basedOn w:val="Fuentedeprrafopredeter"/>
    <w:uiPriority w:val="99"/>
    <w:semiHidden/>
    <w:unhideWhenUsed/>
    <w:rsid w:val="00DB0820"/>
    <w:rPr>
      <w:sz w:val="16"/>
      <w:szCs w:val="16"/>
    </w:rPr>
  </w:style>
  <w:style w:type="paragraph" w:styleId="Textocomentario">
    <w:name w:val="annotation text"/>
    <w:basedOn w:val="Normal"/>
    <w:link w:val="TextocomentarioCar"/>
    <w:uiPriority w:val="99"/>
    <w:semiHidden/>
    <w:unhideWhenUsed/>
    <w:rsid w:val="00DB0820"/>
    <w:rPr>
      <w:sz w:val="20"/>
      <w:szCs w:val="20"/>
    </w:rPr>
  </w:style>
  <w:style w:type="character" w:customStyle="1" w:styleId="TextocomentarioCar">
    <w:name w:val="Texto comentario Car"/>
    <w:basedOn w:val="Fuentedeprrafopredeter"/>
    <w:link w:val="Textocomentario"/>
    <w:uiPriority w:val="99"/>
    <w:semiHidden/>
    <w:rsid w:val="00DB0820"/>
    <w:rPr>
      <w:rFonts w:ascii="Arial" w:hAnsi="Arial" w:cs="Arial"/>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0820"/>
    <w:rPr>
      <w:b/>
      <w:bCs/>
    </w:rPr>
  </w:style>
  <w:style w:type="character" w:customStyle="1" w:styleId="AsuntodelcomentarioCar">
    <w:name w:val="Asunto del comentario Car"/>
    <w:basedOn w:val="TextocomentarioCar"/>
    <w:link w:val="Asuntodelcomentario"/>
    <w:uiPriority w:val="99"/>
    <w:semiHidden/>
    <w:rsid w:val="00DB0820"/>
    <w:rPr>
      <w:rFonts w:ascii="Arial" w:hAnsi="Arial" w:cs="Arial"/>
      <w:b/>
      <w:bCs/>
      <w:sz w:val="20"/>
      <w:szCs w:val="20"/>
      <w:lang w:val="es-MX"/>
    </w:rPr>
  </w:style>
  <w:style w:type="character" w:styleId="Refdenotaalpie">
    <w:name w:val="footnote reference"/>
    <w:basedOn w:val="Fuentedeprrafopredeter"/>
    <w:uiPriority w:val="99"/>
    <w:semiHidden/>
    <w:unhideWhenUsed/>
    <w:rsid w:val="00DB0820"/>
    <w:rPr>
      <w:vertAlign w:val="superscript"/>
    </w:rPr>
  </w:style>
  <w:style w:type="table" w:styleId="Tablanormal3">
    <w:name w:val="Plain Table 3"/>
    <w:basedOn w:val="Tablanormal"/>
    <w:uiPriority w:val="43"/>
    <w:rsid w:val="00B96DE9"/>
    <w:pPr>
      <w:jc w:val="both"/>
    </w:pPr>
    <w:rPr>
      <w:rFonts w:ascii="Arial" w:hAnsi="Arial"/>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fa">
    <w:name w:val="Bibliography"/>
    <w:basedOn w:val="Normal"/>
    <w:next w:val="Normal"/>
    <w:uiPriority w:val="37"/>
    <w:unhideWhenUsed/>
    <w:rsid w:val="004A5F95"/>
    <w:pPr>
      <w:jc w:val="both"/>
    </w:pPr>
    <w:rPr>
      <w:rFonts w:cstheme="minorBidi"/>
      <w:lang w:val="es-CO"/>
    </w:rPr>
  </w:style>
  <w:style w:type="character" w:styleId="Textodelmarcadordeposicin">
    <w:name w:val="Placeholder Text"/>
    <w:basedOn w:val="Fuentedeprrafopredeter"/>
    <w:uiPriority w:val="99"/>
    <w:semiHidden/>
    <w:rsid w:val="00D607BF"/>
    <w:rPr>
      <w:color w:val="808080"/>
    </w:rPr>
  </w:style>
  <w:style w:type="paragraph" w:styleId="Cita">
    <w:name w:val="Quote"/>
    <w:aliases w:val="Ecuaciones"/>
    <w:basedOn w:val="Normal"/>
    <w:next w:val="Normal"/>
    <w:link w:val="CitaCar"/>
    <w:uiPriority w:val="29"/>
    <w:qFormat/>
    <w:rsid w:val="001B7679"/>
    <w:pPr>
      <w:spacing w:before="120" w:after="120" w:line="360" w:lineRule="auto"/>
      <w:jc w:val="center"/>
    </w:pPr>
    <w:rPr>
      <w:rFonts w:ascii="Helvetica Neue" w:hAnsi="Helvetica Neue"/>
      <w:i/>
      <w:iCs/>
      <w:sz w:val="20"/>
    </w:rPr>
  </w:style>
  <w:style w:type="character" w:customStyle="1" w:styleId="CitaCar">
    <w:name w:val="Cita Car"/>
    <w:aliases w:val="Ecuaciones Car"/>
    <w:basedOn w:val="Fuentedeprrafopredeter"/>
    <w:link w:val="Cita"/>
    <w:uiPriority w:val="29"/>
    <w:rsid w:val="001B7679"/>
    <w:rPr>
      <w:rFonts w:ascii="Helvetica Neue" w:hAnsi="Helvetica Neue" w:cs="Arial"/>
      <w:i/>
      <w:iCs/>
      <w:sz w:val="20"/>
      <w:szCs w:val="22"/>
      <w:lang w:val="es-MX"/>
    </w:rPr>
  </w:style>
  <w:style w:type="character" w:styleId="Nmerodepgina">
    <w:name w:val="page number"/>
    <w:basedOn w:val="Fuentedeprrafopredeter"/>
    <w:uiPriority w:val="99"/>
    <w:semiHidden/>
    <w:unhideWhenUsed/>
    <w:rsid w:val="00E61791"/>
  </w:style>
  <w:style w:type="character" w:customStyle="1" w:styleId="Mencisenseresoldre1">
    <w:name w:val="Menció sense resoldre1"/>
    <w:basedOn w:val="Fuentedeprrafopredeter"/>
    <w:uiPriority w:val="99"/>
    <w:semiHidden/>
    <w:unhideWhenUsed/>
    <w:rsid w:val="002F40CC"/>
    <w:rPr>
      <w:color w:val="605E5C"/>
      <w:shd w:val="clear" w:color="auto" w:fill="E1DFDD"/>
    </w:rPr>
  </w:style>
  <w:style w:type="paragraph" w:customStyle="1" w:styleId="MDPI71References">
    <w:name w:val="MDPI_7.1_References"/>
    <w:qFormat/>
    <w:rsid w:val="00546988"/>
    <w:pPr>
      <w:numPr>
        <w:numId w:val="12"/>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character" w:styleId="Mencinsinresolver">
    <w:name w:val="Unresolved Mention"/>
    <w:basedOn w:val="Fuentedeprrafopredeter"/>
    <w:uiPriority w:val="99"/>
    <w:semiHidden/>
    <w:unhideWhenUsed/>
    <w:rsid w:val="0021466B"/>
    <w:rPr>
      <w:color w:val="605E5C"/>
      <w:shd w:val="clear" w:color="auto" w:fill="E1DFDD"/>
    </w:rPr>
  </w:style>
  <w:style w:type="paragraph" w:styleId="Descripcin">
    <w:name w:val="caption"/>
    <w:aliases w:val="Epígrafe Car"/>
    <w:basedOn w:val="Normal"/>
    <w:next w:val="Normal"/>
    <w:uiPriority w:val="99"/>
    <w:qFormat/>
    <w:rsid w:val="00587FDF"/>
    <w:pPr>
      <w:widowControl w:val="0"/>
      <w:spacing w:line="360" w:lineRule="auto"/>
      <w:jc w:val="both"/>
    </w:pPr>
    <w:rPr>
      <w:rFonts w:ascii="Times New Roman" w:eastAsia="Calibri" w:hAnsi="Times New Roman" w:cs="Times New Roman"/>
      <w:iCs/>
      <w:szCs w:val="1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2054">
      <w:bodyDiv w:val="1"/>
      <w:marLeft w:val="0"/>
      <w:marRight w:val="0"/>
      <w:marTop w:val="0"/>
      <w:marBottom w:val="0"/>
      <w:divBdr>
        <w:top w:val="none" w:sz="0" w:space="0" w:color="auto"/>
        <w:left w:val="none" w:sz="0" w:space="0" w:color="auto"/>
        <w:bottom w:val="none" w:sz="0" w:space="0" w:color="auto"/>
        <w:right w:val="none" w:sz="0" w:space="0" w:color="auto"/>
      </w:divBdr>
      <w:divsChild>
        <w:div w:id="1075472111">
          <w:marLeft w:val="0"/>
          <w:marRight w:val="0"/>
          <w:marTop w:val="0"/>
          <w:marBottom w:val="0"/>
          <w:divBdr>
            <w:top w:val="none" w:sz="0" w:space="0" w:color="auto"/>
            <w:left w:val="none" w:sz="0" w:space="0" w:color="auto"/>
            <w:bottom w:val="none" w:sz="0" w:space="0" w:color="auto"/>
            <w:right w:val="none" w:sz="0" w:space="0" w:color="auto"/>
          </w:divBdr>
          <w:divsChild>
            <w:div w:id="1462729551">
              <w:marLeft w:val="0"/>
              <w:marRight w:val="0"/>
              <w:marTop w:val="0"/>
              <w:marBottom w:val="0"/>
              <w:divBdr>
                <w:top w:val="none" w:sz="0" w:space="0" w:color="auto"/>
                <w:left w:val="none" w:sz="0" w:space="0" w:color="auto"/>
                <w:bottom w:val="none" w:sz="0" w:space="0" w:color="auto"/>
                <w:right w:val="none" w:sz="0" w:space="0" w:color="auto"/>
              </w:divBdr>
              <w:divsChild>
                <w:div w:id="11024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4515">
      <w:bodyDiv w:val="1"/>
      <w:marLeft w:val="0"/>
      <w:marRight w:val="0"/>
      <w:marTop w:val="0"/>
      <w:marBottom w:val="0"/>
      <w:divBdr>
        <w:top w:val="none" w:sz="0" w:space="0" w:color="auto"/>
        <w:left w:val="none" w:sz="0" w:space="0" w:color="auto"/>
        <w:bottom w:val="none" w:sz="0" w:space="0" w:color="auto"/>
        <w:right w:val="none" w:sz="0" w:space="0" w:color="auto"/>
      </w:divBdr>
    </w:div>
    <w:div w:id="105121760">
      <w:bodyDiv w:val="1"/>
      <w:marLeft w:val="0"/>
      <w:marRight w:val="0"/>
      <w:marTop w:val="0"/>
      <w:marBottom w:val="0"/>
      <w:divBdr>
        <w:top w:val="none" w:sz="0" w:space="0" w:color="auto"/>
        <w:left w:val="none" w:sz="0" w:space="0" w:color="auto"/>
        <w:bottom w:val="none" w:sz="0" w:space="0" w:color="auto"/>
        <w:right w:val="none" w:sz="0" w:space="0" w:color="auto"/>
      </w:divBdr>
    </w:div>
    <w:div w:id="205722378">
      <w:bodyDiv w:val="1"/>
      <w:marLeft w:val="0"/>
      <w:marRight w:val="0"/>
      <w:marTop w:val="0"/>
      <w:marBottom w:val="0"/>
      <w:divBdr>
        <w:top w:val="none" w:sz="0" w:space="0" w:color="auto"/>
        <w:left w:val="none" w:sz="0" w:space="0" w:color="auto"/>
        <w:bottom w:val="none" w:sz="0" w:space="0" w:color="auto"/>
        <w:right w:val="none" w:sz="0" w:space="0" w:color="auto"/>
      </w:divBdr>
      <w:divsChild>
        <w:div w:id="456723183">
          <w:marLeft w:val="0"/>
          <w:marRight w:val="0"/>
          <w:marTop w:val="0"/>
          <w:marBottom w:val="0"/>
          <w:divBdr>
            <w:top w:val="none" w:sz="0" w:space="0" w:color="auto"/>
            <w:left w:val="none" w:sz="0" w:space="0" w:color="auto"/>
            <w:bottom w:val="none" w:sz="0" w:space="0" w:color="auto"/>
            <w:right w:val="none" w:sz="0" w:space="0" w:color="auto"/>
          </w:divBdr>
          <w:divsChild>
            <w:div w:id="1501198238">
              <w:marLeft w:val="0"/>
              <w:marRight w:val="0"/>
              <w:marTop w:val="0"/>
              <w:marBottom w:val="0"/>
              <w:divBdr>
                <w:top w:val="none" w:sz="0" w:space="0" w:color="auto"/>
                <w:left w:val="none" w:sz="0" w:space="0" w:color="auto"/>
                <w:bottom w:val="none" w:sz="0" w:space="0" w:color="auto"/>
                <w:right w:val="none" w:sz="0" w:space="0" w:color="auto"/>
              </w:divBdr>
              <w:divsChild>
                <w:div w:id="1447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1695">
      <w:bodyDiv w:val="1"/>
      <w:marLeft w:val="0"/>
      <w:marRight w:val="0"/>
      <w:marTop w:val="0"/>
      <w:marBottom w:val="0"/>
      <w:divBdr>
        <w:top w:val="none" w:sz="0" w:space="0" w:color="auto"/>
        <w:left w:val="none" w:sz="0" w:space="0" w:color="auto"/>
        <w:bottom w:val="none" w:sz="0" w:space="0" w:color="auto"/>
        <w:right w:val="none" w:sz="0" w:space="0" w:color="auto"/>
      </w:divBdr>
      <w:divsChild>
        <w:div w:id="53941457">
          <w:marLeft w:val="0"/>
          <w:marRight w:val="0"/>
          <w:marTop w:val="0"/>
          <w:marBottom w:val="0"/>
          <w:divBdr>
            <w:top w:val="none" w:sz="0" w:space="0" w:color="auto"/>
            <w:left w:val="none" w:sz="0" w:space="0" w:color="auto"/>
            <w:bottom w:val="none" w:sz="0" w:space="0" w:color="auto"/>
            <w:right w:val="none" w:sz="0" w:space="0" w:color="auto"/>
          </w:divBdr>
          <w:divsChild>
            <w:div w:id="1667050459">
              <w:marLeft w:val="0"/>
              <w:marRight w:val="0"/>
              <w:marTop w:val="0"/>
              <w:marBottom w:val="0"/>
              <w:divBdr>
                <w:top w:val="none" w:sz="0" w:space="0" w:color="auto"/>
                <w:left w:val="none" w:sz="0" w:space="0" w:color="auto"/>
                <w:bottom w:val="none" w:sz="0" w:space="0" w:color="auto"/>
                <w:right w:val="none" w:sz="0" w:space="0" w:color="auto"/>
              </w:divBdr>
              <w:divsChild>
                <w:div w:id="12502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4774">
      <w:bodyDiv w:val="1"/>
      <w:marLeft w:val="0"/>
      <w:marRight w:val="0"/>
      <w:marTop w:val="0"/>
      <w:marBottom w:val="0"/>
      <w:divBdr>
        <w:top w:val="none" w:sz="0" w:space="0" w:color="auto"/>
        <w:left w:val="none" w:sz="0" w:space="0" w:color="auto"/>
        <w:bottom w:val="none" w:sz="0" w:space="0" w:color="auto"/>
        <w:right w:val="none" w:sz="0" w:space="0" w:color="auto"/>
      </w:divBdr>
      <w:divsChild>
        <w:div w:id="1838576862">
          <w:marLeft w:val="0"/>
          <w:marRight w:val="0"/>
          <w:marTop w:val="0"/>
          <w:marBottom w:val="0"/>
          <w:divBdr>
            <w:top w:val="none" w:sz="0" w:space="0" w:color="auto"/>
            <w:left w:val="none" w:sz="0" w:space="0" w:color="auto"/>
            <w:bottom w:val="none" w:sz="0" w:space="0" w:color="auto"/>
            <w:right w:val="none" w:sz="0" w:space="0" w:color="auto"/>
          </w:divBdr>
          <w:divsChild>
            <w:div w:id="68619474">
              <w:marLeft w:val="0"/>
              <w:marRight w:val="0"/>
              <w:marTop w:val="0"/>
              <w:marBottom w:val="0"/>
              <w:divBdr>
                <w:top w:val="none" w:sz="0" w:space="0" w:color="auto"/>
                <w:left w:val="none" w:sz="0" w:space="0" w:color="auto"/>
                <w:bottom w:val="none" w:sz="0" w:space="0" w:color="auto"/>
                <w:right w:val="none" w:sz="0" w:space="0" w:color="auto"/>
              </w:divBdr>
              <w:divsChild>
                <w:div w:id="12024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2419">
      <w:bodyDiv w:val="1"/>
      <w:marLeft w:val="0"/>
      <w:marRight w:val="0"/>
      <w:marTop w:val="0"/>
      <w:marBottom w:val="0"/>
      <w:divBdr>
        <w:top w:val="none" w:sz="0" w:space="0" w:color="auto"/>
        <w:left w:val="none" w:sz="0" w:space="0" w:color="auto"/>
        <w:bottom w:val="none" w:sz="0" w:space="0" w:color="auto"/>
        <w:right w:val="none" w:sz="0" w:space="0" w:color="auto"/>
      </w:divBdr>
      <w:divsChild>
        <w:div w:id="1674990495">
          <w:marLeft w:val="0"/>
          <w:marRight w:val="0"/>
          <w:marTop w:val="0"/>
          <w:marBottom w:val="0"/>
          <w:divBdr>
            <w:top w:val="none" w:sz="0" w:space="0" w:color="auto"/>
            <w:left w:val="none" w:sz="0" w:space="0" w:color="auto"/>
            <w:bottom w:val="none" w:sz="0" w:space="0" w:color="auto"/>
            <w:right w:val="none" w:sz="0" w:space="0" w:color="auto"/>
          </w:divBdr>
          <w:divsChild>
            <w:div w:id="1716392050">
              <w:marLeft w:val="0"/>
              <w:marRight w:val="0"/>
              <w:marTop w:val="0"/>
              <w:marBottom w:val="0"/>
              <w:divBdr>
                <w:top w:val="none" w:sz="0" w:space="0" w:color="auto"/>
                <w:left w:val="none" w:sz="0" w:space="0" w:color="auto"/>
                <w:bottom w:val="none" w:sz="0" w:space="0" w:color="auto"/>
                <w:right w:val="none" w:sz="0" w:space="0" w:color="auto"/>
              </w:divBdr>
              <w:divsChild>
                <w:div w:id="10778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57155">
      <w:bodyDiv w:val="1"/>
      <w:marLeft w:val="0"/>
      <w:marRight w:val="0"/>
      <w:marTop w:val="0"/>
      <w:marBottom w:val="0"/>
      <w:divBdr>
        <w:top w:val="none" w:sz="0" w:space="0" w:color="auto"/>
        <w:left w:val="none" w:sz="0" w:space="0" w:color="auto"/>
        <w:bottom w:val="none" w:sz="0" w:space="0" w:color="auto"/>
        <w:right w:val="none" w:sz="0" w:space="0" w:color="auto"/>
      </w:divBdr>
      <w:divsChild>
        <w:div w:id="482086787">
          <w:marLeft w:val="0"/>
          <w:marRight w:val="0"/>
          <w:marTop w:val="0"/>
          <w:marBottom w:val="0"/>
          <w:divBdr>
            <w:top w:val="none" w:sz="0" w:space="0" w:color="auto"/>
            <w:left w:val="none" w:sz="0" w:space="0" w:color="auto"/>
            <w:bottom w:val="none" w:sz="0" w:space="0" w:color="auto"/>
            <w:right w:val="none" w:sz="0" w:space="0" w:color="auto"/>
          </w:divBdr>
          <w:divsChild>
            <w:div w:id="589698547">
              <w:marLeft w:val="0"/>
              <w:marRight w:val="0"/>
              <w:marTop w:val="0"/>
              <w:marBottom w:val="0"/>
              <w:divBdr>
                <w:top w:val="none" w:sz="0" w:space="0" w:color="auto"/>
                <w:left w:val="none" w:sz="0" w:space="0" w:color="auto"/>
                <w:bottom w:val="none" w:sz="0" w:space="0" w:color="auto"/>
                <w:right w:val="none" w:sz="0" w:space="0" w:color="auto"/>
              </w:divBdr>
              <w:divsChild>
                <w:div w:id="15693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461241">
      <w:bodyDiv w:val="1"/>
      <w:marLeft w:val="0"/>
      <w:marRight w:val="0"/>
      <w:marTop w:val="0"/>
      <w:marBottom w:val="0"/>
      <w:divBdr>
        <w:top w:val="none" w:sz="0" w:space="0" w:color="auto"/>
        <w:left w:val="none" w:sz="0" w:space="0" w:color="auto"/>
        <w:bottom w:val="none" w:sz="0" w:space="0" w:color="auto"/>
        <w:right w:val="none" w:sz="0" w:space="0" w:color="auto"/>
      </w:divBdr>
      <w:divsChild>
        <w:div w:id="1206016691">
          <w:marLeft w:val="0"/>
          <w:marRight w:val="0"/>
          <w:marTop w:val="0"/>
          <w:marBottom w:val="0"/>
          <w:divBdr>
            <w:top w:val="none" w:sz="0" w:space="0" w:color="auto"/>
            <w:left w:val="none" w:sz="0" w:space="0" w:color="auto"/>
            <w:bottom w:val="none" w:sz="0" w:space="0" w:color="auto"/>
            <w:right w:val="none" w:sz="0" w:space="0" w:color="auto"/>
          </w:divBdr>
          <w:divsChild>
            <w:div w:id="370692664">
              <w:marLeft w:val="0"/>
              <w:marRight w:val="0"/>
              <w:marTop w:val="0"/>
              <w:marBottom w:val="0"/>
              <w:divBdr>
                <w:top w:val="none" w:sz="0" w:space="0" w:color="auto"/>
                <w:left w:val="none" w:sz="0" w:space="0" w:color="auto"/>
                <w:bottom w:val="none" w:sz="0" w:space="0" w:color="auto"/>
                <w:right w:val="none" w:sz="0" w:space="0" w:color="auto"/>
              </w:divBdr>
              <w:divsChild>
                <w:div w:id="18775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82600">
      <w:bodyDiv w:val="1"/>
      <w:marLeft w:val="0"/>
      <w:marRight w:val="0"/>
      <w:marTop w:val="0"/>
      <w:marBottom w:val="0"/>
      <w:divBdr>
        <w:top w:val="none" w:sz="0" w:space="0" w:color="auto"/>
        <w:left w:val="none" w:sz="0" w:space="0" w:color="auto"/>
        <w:bottom w:val="none" w:sz="0" w:space="0" w:color="auto"/>
        <w:right w:val="none" w:sz="0" w:space="0" w:color="auto"/>
      </w:divBdr>
      <w:divsChild>
        <w:div w:id="969241866">
          <w:marLeft w:val="0"/>
          <w:marRight w:val="0"/>
          <w:marTop w:val="0"/>
          <w:marBottom w:val="0"/>
          <w:divBdr>
            <w:top w:val="none" w:sz="0" w:space="0" w:color="auto"/>
            <w:left w:val="none" w:sz="0" w:space="0" w:color="auto"/>
            <w:bottom w:val="none" w:sz="0" w:space="0" w:color="auto"/>
            <w:right w:val="none" w:sz="0" w:space="0" w:color="auto"/>
          </w:divBdr>
          <w:divsChild>
            <w:div w:id="1565531329">
              <w:marLeft w:val="0"/>
              <w:marRight w:val="0"/>
              <w:marTop w:val="0"/>
              <w:marBottom w:val="0"/>
              <w:divBdr>
                <w:top w:val="none" w:sz="0" w:space="0" w:color="auto"/>
                <w:left w:val="none" w:sz="0" w:space="0" w:color="auto"/>
                <w:bottom w:val="none" w:sz="0" w:space="0" w:color="auto"/>
                <w:right w:val="none" w:sz="0" w:space="0" w:color="auto"/>
              </w:divBdr>
              <w:divsChild>
                <w:div w:id="17632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21124">
      <w:bodyDiv w:val="1"/>
      <w:marLeft w:val="0"/>
      <w:marRight w:val="0"/>
      <w:marTop w:val="0"/>
      <w:marBottom w:val="0"/>
      <w:divBdr>
        <w:top w:val="none" w:sz="0" w:space="0" w:color="auto"/>
        <w:left w:val="none" w:sz="0" w:space="0" w:color="auto"/>
        <w:bottom w:val="none" w:sz="0" w:space="0" w:color="auto"/>
        <w:right w:val="none" w:sz="0" w:space="0" w:color="auto"/>
      </w:divBdr>
      <w:divsChild>
        <w:div w:id="705059470">
          <w:marLeft w:val="0"/>
          <w:marRight w:val="0"/>
          <w:marTop w:val="0"/>
          <w:marBottom w:val="0"/>
          <w:divBdr>
            <w:top w:val="none" w:sz="0" w:space="0" w:color="auto"/>
            <w:left w:val="none" w:sz="0" w:space="0" w:color="auto"/>
            <w:bottom w:val="none" w:sz="0" w:space="0" w:color="auto"/>
            <w:right w:val="none" w:sz="0" w:space="0" w:color="auto"/>
          </w:divBdr>
          <w:divsChild>
            <w:div w:id="1144198003">
              <w:marLeft w:val="0"/>
              <w:marRight w:val="0"/>
              <w:marTop w:val="0"/>
              <w:marBottom w:val="0"/>
              <w:divBdr>
                <w:top w:val="none" w:sz="0" w:space="0" w:color="auto"/>
                <w:left w:val="none" w:sz="0" w:space="0" w:color="auto"/>
                <w:bottom w:val="none" w:sz="0" w:space="0" w:color="auto"/>
                <w:right w:val="none" w:sz="0" w:space="0" w:color="auto"/>
              </w:divBdr>
              <w:divsChild>
                <w:div w:id="8425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77184">
      <w:bodyDiv w:val="1"/>
      <w:marLeft w:val="0"/>
      <w:marRight w:val="0"/>
      <w:marTop w:val="0"/>
      <w:marBottom w:val="0"/>
      <w:divBdr>
        <w:top w:val="none" w:sz="0" w:space="0" w:color="auto"/>
        <w:left w:val="none" w:sz="0" w:space="0" w:color="auto"/>
        <w:bottom w:val="none" w:sz="0" w:space="0" w:color="auto"/>
        <w:right w:val="none" w:sz="0" w:space="0" w:color="auto"/>
      </w:divBdr>
      <w:divsChild>
        <w:div w:id="2072923356">
          <w:marLeft w:val="0"/>
          <w:marRight w:val="0"/>
          <w:marTop w:val="0"/>
          <w:marBottom w:val="0"/>
          <w:divBdr>
            <w:top w:val="none" w:sz="0" w:space="0" w:color="auto"/>
            <w:left w:val="none" w:sz="0" w:space="0" w:color="auto"/>
            <w:bottom w:val="none" w:sz="0" w:space="0" w:color="auto"/>
            <w:right w:val="none" w:sz="0" w:space="0" w:color="auto"/>
          </w:divBdr>
          <w:divsChild>
            <w:div w:id="846210874">
              <w:marLeft w:val="0"/>
              <w:marRight w:val="0"/>
              <w:marTop w:val="0"/>
              <w:marBottom w:val="0"/>
              <w:divBdr>
                <w:top w:val="none" w:sz="0" w:space="0" w:color="auto"/>
                <w:left w:val="none" w:sz="0" w:space="0" w:color="auto"/>
                <w:bottom w:val="none" w:sz="0" w:space="0" w:color="auto"/>
                <w:right w:val="none" w:sz="0" w:space="0" w:color="auto"/>
              </w:divBdr>
              <w:divsChild>
                <w:div w:id="8942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4036">
      <w:bodyDiv w:val="1"/>
      <w:marLeft w:val="0"/>
      <w:marRight w:val="0"/>
      <w:marTop w:val="0"/>
      <w:marBottom w:val="0"/>
      <w:divBdr>
        <w:top w:val="none" w:sz="0" w:space="0" w:color="auto"/>
        <w:left w:val="none" w:sz="0" w:space="0" w:color="auto"/>
        <w:bottom w:val="none" w:sz="0" w:space="0" w:color="auto"/>
        <w:right w:val="none" w:sz="0" w:space="0" w:color="auto"/>
      </w:divBdr>
    </w:div>
    <w:div w:id="862784072">
      <w:bodyDiv w:val="1"/>
      <w:marLeft w:val="0"/>
      <w:marRight w:val="0"/>
      <w:marTop w:val="0"/>
      <w:marBottom w:val="0"/>
      <w:divBdr>
        <w:top w:val="none" w:sz="0" w:space="0" w:color="auto"/>
        <w:left w:val="none" w:sz="0" w:space="0" w:color="auto"/>
        <w:bottom w:val="none" w:sz="0" w:space="0" w:color="auto"/>
        <w:right w:val="none" w:sz="0" w:space="0" w:color="auto"/>
      </w:divBdr>
    </w:div>
    <w:div w:id="891424865">
      <w:bodyDiv w:val="1"/>
      <w:marLeft w:val="0"/>
      <w:marRight w:val="0"/>
      <w:marTop w:val="0"/>
      <w:marBottom w:val="0"/>
      <w:divBdr>
        <w:top w:val="none" w:sz="0" w:space="0" w:color="auto"/>
        <w:left w:val="none" w:sz="0" w:space="0" w:color="auto"/>
        <w:bottom w:val="none" w:sz="0" w:space="0" w:color="auto"/>
        <w:right w:val="none" w:sz="0" w:space="0" w:color="auto"/>
      </w:divBdr>
    </w:div>
    <w:div w:id="953706214">
      <w:bodyDiv w:val="1"/>
      <w:marLeft w:val="0"/>
      <w:marRight w:val="0"/>
      <w:marTop w:val="0"/>
      <w:marBottom w:val="0"/>
      <w:divBdr>
        <w:top w:val="none" w:sz="0" w:space="0" w:color="auto"/>
        <w:left w:val="none" w:sz="0" w:space="0" w:color="auto"/>
        <w:bottom w:val="none" w:sz="0" w:space="0" w:color="auto"/>
        <w:right w:val="none" w:sz="0" w:space="0" w:color="auto"/>
      </w:divBdr>
      <w:divsChild>
        <w:div w:id="50010419">
          <w:marLeft w:val="0"/>
          <w:marRight w:val="0"/>
          <w:marTop w:val="0"/>
          <w:marBottom w:val="0"/>
          <w:divBdr>
            <w:top w:val="none" w:sz="0" w:space="0" w:color="auto"/>
            <w:left w:val="none" w:sz="0" w:space="0" w:color="auto"/>
            <w:bottom w:val="none" w:sz="0" w:space="0" w:color="auto"/>
            <w:right w:val="none" w:sz="0" w:space="0" w:color="auto"/>
          </w:divBdr>
          <w:divsChild>
            <w:div w:id="2007661296">
              <w:marLeft w:val="0"/>
              <w:marRight w:val="0"/>
              <w:marTop w:val="0"/>
              <w:marBottom w:val="0"/>
              <w:divBdr>
                <w:top w:val="none" w:sz="0" w:space="0" w:color="auto"/>
                <w:left w:val="none" w:sz="0" w:space="0" w:color="auto"/>
                <w:bottom w:val="none" w:sz="0" w:space="0" w:color="auto"/>
                <w:right w:val="none" w:sz="0" w:space="0" w:color="auto"/>
              </w:divBdr>
              <w:divsChild>
                <w:div w:id="16041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456">
      <w:bodyDiv w:val="1"/>
      <w:marLeft w:val="0"/>
      <w:marRight w:val="0"/>
      <w:marTop w:val="0"/>
      <w:marBottom w:val="0"/>
      <w:divBdr>
        <w:top w:val="none" w:sz="0" w:space="0" w:color="auto"/>
        <w:left w:val="none" w:sz="0" w:space="0" w:color="auto"/>
        <w:bottom w:val="none" w:sz="0" w:space="0" w:color="auto"/>
        <w:right w:val="none" w:sz="0" w:space="0" w:color="auto"/>
      </w:divBdr>
    </w:div>
    <w:div w:id="1163159951">
      <w:bodyDiv w:val="1"/>
      <w:marLeft w:val="0"/>
      <w:marRight w:val="0"/>
      <w:marTop w:val="0"/>
      <w:marBottom w:val="0"/>
      <w:divBdr>
        <w:top w:val="none" w:sz="0" w:space="0" w:color="auto"/>
        <w:left w:val="none" w:sz="0" w:space="0" w:color="auto"/>
        <w:bottom w:val="none" w:sz="0" w:space="0" w:color="auto"/>
        <w:right w:val="none" w:sz="0" w:space="0" w:color="auto"/>
      </w:divBdr>
      <w:divsChild>
        <w:div w:id="1478843827">
          <w:marLeft w:val="0"/>
          <w:marRight w:val="0"/>
          <w:marTop w:val="0"/>
          <w:marBottom w:val="0"/>
          <w:divBdr>
            <w:top w:val="none" w:sz="0" w:space="0" w:color="auto"/>
            <w:left w:val="none" w:sz="0" w:space="0" w:color="auto"/>
            <w:bottom w:val="none" w:sz="0" w:space="0" w:color="auto"/>
            <w:right w:val="none" w:sz="0" w:space="0" w:color="auto"/>
          </w:divBdr>
          <w:divsChild>
            <w:div w:id="1263297715">
              <w:marLeft w:val="0"/>
              <w:marRight w:val="0"/>
              <w:marTop w:val="0"/>
              <w:marBottom w:val="0"/>
              <w:divBdr>
                <w:top w:val="none" w:sz="0" w:space="0" w:color="auto"/>
                <w:left w:val="none" w:sz="0" w:space="0" w:color="auto"/>
                <w:bottom w:val="none" w:sz="0" w:space="0" w:color="auto"/>
                <w:right w:val="none" w:sz="0" w:space="0" w:color="auto"/>
              </w:divBdr>
              <w:divsChild>
                <w:div w:id="1801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5610">
      <w:bodyDiv w:val="1"/>
      <w:marLeft w:val="0"/>
      <w:marRight w:val="0"/>
      <w:marTop w:val="0"/>
      <w:marBottom w:val="0"/>
      <w:divBdr>
        <w:top w:val="none" w:sz="0" w:space="0" w:color="auto"/>
        <w:left w:val="none" w:sz="0" w:space="0" w:color="auto"/>
        <w:bottom w:val="none" w:sz="0" w:space="0" w:color="auto"/>
        <w:right w:val="none" w:sz="0" w:space="0" w:color="auto"/>
      </w:divBdr>
      <w:divsChild>
        <w:div w:id="1469471919">
          <w:marLeft w:val="0"/>
          <w:marRight w:val="0"/>
          <w:marTop w:val="0"/>
          <w:marBottom w:val="0"/>
          <w:divBdr>
            <w:top w:val="none" w:sz="0" w:space="0" w:color="auto"/>
            <w:left w:val="none" w:sz="0" w:space="0" w:color="auto"/>
            <w:bottom w:val="none" w:sz="0" w:space="0" w:color="auto"/>
            <w:right w:val="none" w:sz="0" w:space="0" w:color="auto"/>
          </w:divBdr>
          <w:divsChild>
            <w:div w:id="563369275">
              <w:marLeft w:val="0"/>
              <w:marRight w:val="0"/>
              <w:marTop w:val="0"/>
              <w:marBottom w:val="0"/>
              <w:divBdr>
                <w:top w:val="none" w:sz="0" w:space="0" w:color="auto"/>
                <w:left w:val="none" w:sz="0" w:space="0" w:color="auto"/>
                <w:bottom w:val="none" w:sz="0" w:space="0" w:color="auto"/>
                <w:right w:val="none" w:sz="0" w:space="0" w:color="auto"/>
              </w:divBdr>
              <w:divsChild>
                <w:div w:id="12758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0478">
      <w:bodyDiv w:val="1"/>
      <w:marLeft w:val="0"/>
      <w:marRight w:val="0"/>
      <w:marTop w:val="0"/>
      <w:marBottom w:val="0"/>
      <w:divBdr>
        <w:top w:val="none" w:sz="0" w:space="0" w:color="auto"/>
        <w:left w:val="none" w:sz="0" w:space="0" w:color="auto"/>
        <w:bottom w:val="none" w:sz="0" w:space="0" w:color="auto"/>
        <w:right w:val="none" w:sz="0" w:space="0" w:color="auto"/>
      </w:divBdr>
      <w:divsChild>
        <w:div w:id="1550920596">
          <w:marLeft w:val="0"/>
          <w:marRight w:val="0"/>
          <w:marTop w:val="0"/>
          <w:marBottom w:val="0"/>
          <w:divBdr>
            <w:top w:val="none" w:sz="0" w:space="0" w:color="auto"/>
            <w:left w:val="none" w:sz="0" w:space="0" w:color="auto"/>
            <w:bottom w:val="none" w:sz="0" w:space="0" w:color="auto"/>
            <w:right w:val="none" w:sz="0" w:space="0" w:color="auto"/>
          </w:divBdr>
          <w:divsChild>
            <w:div w:id="300767044">
              <w:marLeft w:val="0"/>
              <w:marRight w:val="0"/>
              <w:marTop w:val="0"/>
              <w:marBottom w:val="0"/>
              <w:divBdr>
                <w:top w:val="none" w:sz="0" w:space="0" w:color="auto"/>
                <w:left w:val="none" w:sz="0" w:space="0" w:color="auto"/>
                <w:bottom w:val="none" w:sz="0" w:space="0" w:color="auto"/>
                <w:right w:val="none" w:sz="0" w:space="0" w:color="auto"/>
              </w:divBdr>
              <w:divsChild>
                <w:div w:id="10879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1523">
      <w:bodyDiv w:val="1"/>
      <w:marLeft w:val="0"/>
      <w:marRight w:val="0"/>
      <w:marTop w:val="0"/>
      <w:marBottom w:val="0"/>
      <w:divBdr>
        <w:top w:val="none" w:sz="0" w:space="0" w:color="auto"/>
        <w:left w:val="none" w:sz="0" w:space="0" w:color="auto"/>
        <w:bottom w:val="none" w:sz="0" w:space="0" w:color="auto"/>
        <w:right w:val="none" w:sz="0" w:space="0" w:color="auto"/>
      </w:divBdr>
      <w:divsChild>
        <w:div w:id="707416618">
          <w:marLeft w:val="0"/>
          <w:marRight w:val="0"/>
          <w:marTop w:val="0"/>
          <w:marBottom w:val="0"/>
          <w:divBdr>
            <w:top w:val="none" w:sz="0" w:space="0" w:color="auto"/>
            <w:left w:val="none" w:sz="0" w:space="0" w:color="auto"/>
            <w:bottom w:val="none" w:sz="0" w:space="0" w:color="auto"/>
            <w:right w:val="none" w:sz="0" w:space="0" w:color="auto"/>
          </w:divBdr>
          <w:divsChild>
            <w:div w:id="1462071927">
              <w:marLeft w:val="0"/>
              <w:marRight w:val="0"/>
              <w:marTop w:val="0"/>
              <w:marBottom w:val="0"/>
              <w:divBdr>
                <w:top w:val="none" w:sz="0" w:space="0" w:color="auto"/>
                <w:left w:val="none" w:sz="0" w:space="0" w:color="auto"/>
                <w:bottom w:val="none" w:sz="0" w:space="0" w:color="auto"/>
                <w:right w:val="none" w:sz="0" w:space="0" w:color="auto"/>
              </w:divBdr>
              <w:divsChild>
                <w:div w:id="1298990896">
                  <w:marLeft w:val="0"/>
                  <w:marRight w:val="0"/>
                  <w:marTop w:val="0"/>
                  <w:marBottom w:val="0"/>
                  <w:divBdr>
                    <w:top w:val="none" w:sz="0" w:space="0" w:color="auto"/>
                    <w:left w:val="none" w:sz="0" w:space="0" w:color="auto"/>
                    <w:bottom w:val="none" w:sz="0" w:space="0" w:color="auto"/>
                    <w:right w:val="none" w:sz="0" w:space="0" w:color="auto"/>
                  </w:divBdr>
                </w:div>
              </w:divsChild>
            </w:div>
            <w:div w:id="310257030">
              <w:marLeft w:val="0"/>
              <w:marRight w:val="0"/>
              <w:marTop w:val="0"/>
              <w:marBottom w:val="0"/>
              <w:divBdr>
                <w:top w:val="none" w:sz="0" w:space="0" w:color="auto"/>
                <w:left w:val="none" w:sz="0" w:space="0" w:color="auto"/>
                <w:bottom w:val="none" w:sz="0" w:space="0" w:color="auto"/>
                <w:right w:val="none" w:sz="0" w:space="0" w:color="auto"/>
              </w:divBdr>
              <w:divsChild>
                <w:div w:id="1544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1660">
          <w:marLeft w:val="0"/>
          <w:marRight w:val="0"/>
          <w:marTop w:val="0"/>
          <w:marBottom w:val="0"/>
          <w:divBdr>
            <w:top w:val="none" w:sz="0" w:space="0" w:color="auto"/>
            <w:left w:val="none" w:sz="0" w:space="0" w:color="auto"/>
            <w:bottom w:val="none" w:sz="0" w:space="0" w:color="auto"/>
            <w:right w:val="none" w:sz="0" w:space="0" w:color="auto"/>
          </w:divBdr>
          <w:divsChild>
            <w:div w:id="595672386">
              <w:marLeft w:val="0"/>
              <w:marRight w:val="0"/>
              <w:marTop w:val="0"/>
              <w:marBottom w:val="0"/>
              <w:divBdr>
                <w:top w:val="none" w:sz="0" w:space="0" w:color="auto"/>
                <w:left w:val="none" w:sz="0" w:space="0" w:color="auto"/>
                <w:bottom w:val="none" w:sz="0" w:space="0" w:color="auto"/>
                <w:right w:val="none" w:sz="0" w:space="0" w:color="auto"/>
              </w:divBdr>
              <w:divsChild>
                <w:div w:id="1181161541">
                  <w:marLeft w:val="0"/>
                  <w:marRight w:val="0"/>
                  <w:marTop w:val="0"/>
                  <w:marBottom w:val="0"/>
                  <w:divBdr>
                    <w:top w:val="none" w:sz="0" w:space="0" w:color="auto"/>
                    <w:left w:val="none" w:sz="0" w:space="0" w:color="auto"/>
                    <w:bottom w:val="none" w:sz="0" w:space="0" w:color="auto"/>
                    <w:right w:val="none" w:sz="0" w:space="0" w:color="auto"/>
                  </w:divBdr>
                </w:div>
              </w:divsChild>
            </w:div>
            <w:div w:id="1359310710">
              <w:marLeft w:val="0"/>
              <w:marRight w:val="0"/>
              <w:marTop w:val="0"/>
              <w:marBottom w:val="0"/>
              <w:divBdr>
                <w:top w:val="none" w:sz="0" w:space="0" w:color="auto"/>
                <w:left w:val="none" w:sz="0" w:space="0" w:color="auto"/>
                <w:bottom w:val="none" w:sz="0" w:space="0" w:color="auto"/>
                <w:right w:val="none" w:sz="0" w:space="0" w:color="auto"/>
              </w:divBdr>
              <w:divsChild>
                <w:div w:id="8920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4242">
          <w:marLeft w:val="0"/>
          <w:marRight w:val="0"/>
          <w:marTop w:val="0"/>
          <w:marBottom w:val="0"/>
          <w:divBdr>
            <w:top w:val="none" w:sz="0" w:space="0" w:color="auto"/>
            <w:left w:val="none" w:sz="0" w:space="0" w:color="auto"/>
            <w:bottom w:val="none" w:sz="0" w:space="0" w:color="auto"/>
            <w:right w:val="none" w:sz="0" w:space="0" w:color="auto"/>
          </w:divBdr>
          <w:divsChild>
            <w:div w:id="760444939">
              <w:marLeft w:val="0"/>
              <w:marRight w:val="0"/>
              <w:marTop w:val="0"/>
              <w:marBottom w:val="0"/>
              <w:divBdr>
                <w:top w:val="none" w:sz="0" w:space="0" w:color="auto"/>
                <w:left w:val="none" w:sz="0" w:space="0" w:color="auto"/>
                <w:bottom w:val="none" w:sz="0" w:space="0" w:color="auto"/>
                <w:right w:val="none" w:sz="0" w:space="0" w:color="auto"/>
              </w:divBdr>
              <w:divsChild>
                <w:div w:id="18836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16870">
      <w:bodyDiv w:val="1"/>
      <w:marLeft w:val="0"/>
      <w:marRight w:val="0"/>
      <w:marTop w:val="0"/>
      <w:marBottom w:val="0"/>
      <w:divBdr>
        <w:top w:val="none" w:sz="0" w:space="0" w:color="auto"/>
        <w:left w:val="none" w:sz="0" w:space="0" w:color="auto"/>
        <w:bottom w:val="none" w:sz="0" w:space="0" w:color="auto"/>
        <w:right w:val="none" w:sz="0" w:space="0" w:color="auto"/>
      </w:divBdr>
    </w:div>
    <w:div w:id="1964072572">
      <w:bodyDiv w:val="1"/>
      <w:marLeft w:val="0"/>
      <w:marRight w:val="0"/>
      <w:marTop w:val="0"/>
      <w:marBottom w:val="0"/>
      <w:divBdr>
        <w:top w:val="none" w:sz="0" w:space="0" w:color="auto"/>
        <w:left w:val="none" w:sz="0" w:space="0" w:color="auto"/>
        <w:bottom w:val="none" w:sz="0" w:space="0" w:color="auto"/>
        <w:right w:val="none" w:sz="0" w:space="0" w:color="auto"/>
      </w:divBdr>
    </w:div>
    <w:div w:id="2090347026">
      <w:bodyDiv w:val="1"/>
      <w:marLeft w:val="0"/>
      <w:marRight w:val="0"/>
      <w:marTop w:val="0"/>
      <w:marBottom w:val="0"/>
      <w:divBdr>
        <w:top w:val="none" w:sz="0" w:space="0" w:color="auto"/>
        <w:left w:val="none" w:sz="0" w:space="0" w:color="auto"/>
        <w:bottom w:val="none" w:sz="0" w:space="0" w:color="auto"/>
        <w:right w:val="none" w:sz="0" w:space="0" w:color="auto"/>
      </w:divBdr>
      <w:divsChild>
        <w:div w:id="1714618945">
          <w:marLeft w:val="0"/>
          <w:marRight w:val="0"/>
          <w:marTop w:val="0"/>
          <w:marBottom w:val="0"/>
          <w:divBdr>
            <w:top w:val="none" w:sz="0" w:space="0" w:color="auto"/>
            <w:left w:val="none" w:sz="0" w:space="0" w:color="auto"/>
            <w:bottom w:val="none" w:sz="0" w:space="0" w:color="auto"/>
            <w:right w:val="none" w:sz="0" w:space="0" w:color="auto"/>
          </w:divBdr>
          <w:divsChild>
            <w:div w:id="1028799938">
              <w:marLeft w:val="0"/>
              <w:marRight w:val="0"/>
              <w:marTop w:val="0"/>
              <w:marBottom w:val="0"/>
              <w:divBdr>
                <w:top w:val="none" w:sz="0" w:space="0" w:color="auto"/>
                <w:left w:val="none" w:sz="0" w:space="0" w:color="auto"/>
                <w:bottom w:val="none" w:sz="0" w:space="0" w:color="auto"/>
                <w:right w:val="none" w:sz="0" w:space="0" w:color="auto"/>
              </w:divBdr>
              <w:divsChild>
                <w:div w:id="10848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hyperlink" Target="http://dx.doi.org/10.12804/revistas.urosario.edu.co/economia/a.6802"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hyperlink" Target="mailto:josemauricio.gil@uptc.edu.co" TargetMode="Externa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Rop42</b:Tag>
    <b:SourceType>BookSection</b:SourceType>
    <b:Guid>{B2BE1BE9-6849-443F-A755-08B8B3BC9C3C}</b:Guid>
    <b:Author>
      <b:Author>
        <b:NameList>
          <b:Person>
            <b:Last>Ropke</b:Last>
            <b:First>Wilhelm</b:First>
          </b:Person>
        </b:NameList>
      </b:Author>
      <b:BookAuthor>
        <b:NameList>
          <b:Person>
            <b:Last>Ropke</b:Last>
            <b:First>Wilhelm</b:First>
          </b:Person>
        </b:NameList>
      </b:BookAuthor>
    </b:Author>
    <b:BookTitle>International Economic Desintegration</b:BookTitle>
    <b:Year>1942</b:Year>
    <b:City>Edimburgo</b:City>
    <b:Publisher>Hodge</b:Publisher>
    <b:RefOrder>4</b:RefOrder>
  </b:Source>
  <b:Source>
    <b:Tag>Tin68</b:Tag>
    <b:SourceType>BookSection</b:SourceType>
    <b:Guid>{21A3C2BF-ED0C-40FD-BDB5-7C9F07909B82}</b:Guid>
    <b:Author>
      <b:Author>
        <b:NameList>
          <b:Person>
            <b:Last>Tinbergen</b:Last>
            <b:First>Jan</b:First>
          </b:Person>
        </b:NameList>
      </b:Author>
      <b:BookAuthor>
        <b:NameList>
          <b:Person>
            <b:Last>Tinbergen</b:Last>
            <b:First>Jan</b:First>
          </b:Person>
        </b:NameList>
      </b:BookAuthor>
    </b:Author>
    <b:BookTitle>Integración Económica Internacional</b:BookTitle>
    <b:Year>1968</b:Year>
    <b:City>Barcelona</b:City>
    <b:Publisher>Sagitario</b:Publisher>
    <b:RefOrder>5</b:RefOrder>
  </b:Source>
  <b:Source>
    <b:Tag>Bal61</b:Tag>
    <b:SourceType>BookSection</b:SourceType>
    <b:Guid>{5DBA87E9-CEC0-4334-BF5F-FF9806CD27A0}</b:Guid>
    <b:Title>The Theory of Economic Integration: An introduction</b:Title>
    <b:Year>1994</b:Year>
    <b:Author>
      <b:Author>
        <b:NameList>
          <b:Person>
            <b:Last>Balassa</b:Last>
            <b:First>Bela</b:First>
          </b:Person>
        </b:NameList>
      </b:Author>
      <b:BookAuthor>
        <b:NameList>
          <b:Person>
            <b:Last>Balassa</b:Last>
            <b:First>Bela</b:First>
          </b:Person>
        </b:NameList>
      </b:BookAuthor>
    </b:Author>
    <b:BookTitle>The European Union: Readings on the Theory and Practice of European Integration</b:BookTitle>
    <b:City>Londons</b:City>
    <b:Publisher>McMillan Education</b:Publisher>
    <b:Pages>125-137</b:Pages>
    <b:RefOrder>6</b:RefOrder>
  </b:Source>
  <b:Source>
    <b:Tag>Rey18</b:Tag>
    <b:SourceType>Report</b:SourceType>
    <b:Guid>{A3F6BA31-B5B0-4015-9EE3-EAD75948145A}</b:Guid>
    <b:Title>Fundamentos de Integración en América Latina</b:Title>
    <b:Year>2018</b:Year>
    <b:Author>
      <b:Author>
        <b:NameList>
          <b:Person>
            <b:Last>Reyes</b:Last>
            <b:First>Giovanni</b:First>
          </b:Person>
        </b:NameList>
      </b:Author>
    </b:Author>
    <b:City>Bogotá</b:City>
    <b:Publisher>Research Gate</b:Publisher>
    <b:Pages>3-7</b:Pages>
    <b:RefOrder>7</b:RefOrder>
  </b:Source>
  <b:Source>
    <b:Tag>Mae11</b:Tag>
    <b:SourceType>JournalArticle</b:SourceType>
    <b:Guid>{2D6FFA87-D9C6-4D0A-976F-61625C270307}</b:Guid>
    <b:Title>La Integración Económica</b:Title>
    <b:Year>2011</b:Year>
    <b:JournalName>Tendencias y nuevos desarrollos de la teoría económica</b:JournalName>
    <b:Pages>119-132</b:Pages>
    <b:Author>
      <b:Author>
        <b:NameList>
          <b:Person>
            <b:Last>Maesso Corral</b:Last>
            <b:First>Maria</b:First>
          </b:Person>
        </b:NameList>
      </b:Author>
    </b:Author>
    <b:Volume>858</b:Volume>
    <b:RefOrder>8</b:RefOrder>
  </b:Source>
  <b:Source>
    <b:Tag>Mal13</b:Tag>
    <b:SourceType>JournalArticle</b:SourceType>
    <b:Guid>{33658242-2887-48E4-967E-7BE16E408395}</b:Guid>
    <b:Title>Colombia y los procesos de integración económica</b:Title>
    <b:JournalName>Universidad Militar Nueva Granada</b:JournalName>
    <b:Year>2013</b:Year>
    <b:Pages>2-25</b:Pages>
    <b:Author>
      <b:Author>
        <b:NameList>
          <b:Person>
            <b:Last>Malagón Herrera</b:Last>
            <b:First>Diana</b:First>
          </b:Person>
        </b:NameList>
      </b:Author>
    </b:Author>
    <b:RefOrder>9</b:RefOrder>
  </b:Source>
  <b:Source>
    <b:Tag>he</b:Tag>
    <b:SourceType>BookSection</b:SourceType>
    <b:Guid>{E55826D1-6D37-4154-9B18-CBCA13CEE2C7}</b:Guid>
    <b:Title>Commodity Movements: Productions Aspects</b:Title>
    <b:Year>1964</b:Year>
    <b:City>New York</b:City>
    <b:Publisher>Routledge Revivals</b:Publisher>
    <b:Author>
      <b:Author>
        <b:NameList>
          <b:Person>
            <b:Last>Balassa</b:Last>
            <b:First>Bela</b:First>
          </b:Person>
        </b:NameList>
      </b:Author>
      <b:BookAuthor>
        <b:NameList>
          <b:Person>
            <b:Last>Balassa</b:Last>
            <b:First>Bela</b:First>
          </b:Person>
        </b:NameList>
      </b:BookAuthor>
    </b:Author>
    <b:BookTitle>The Theory of Economic Integration</b:BookTitle>
    <b:Pages>21-56</b:Pages>
    <b:RefOrder>10</b:RefOrder>
  </b:Source>
  <b:Source>
    <b:Tag>Pet14</b:Tag>
    <b:SourceType>JournalArticle</b:SourceType>
    <b:Guid>{4E80CE23-7E62-48CB-9393-6F5E665D0F46}</b:Guid>
    <b:Title>La teoria económica de la integración y sus principios fundamentales</b:Title>
    <b:JournalName>Revista venezolana de análisis de coyuntura</b:JournalName>
    <b:Year>2014</b:Year>
    <b:Pages>137-162</b:Pages>
    <b:Author>
      <b:Author>
        <b:NameList>
          <b:Person>
            <b:Last>Petit Primera</b:Last>
            <b:Middle>Gregorio</b:Middle>
            <b:First>Jose</b:First>
          </b:Person>
        </b:NameList>
      </b:Author>
    </b:Author>
    <b:RefOrder>11</b:RefOrder>
  </b:Source>
  <b:Source>
    <b:Tag>Śle</b:Tag>
    <b:SourceType>Misc</b:SourceType>
    <b:Guid>{6336DEA3-5562-4EAC-831B-ACA59761558E}</b:Guid>
    <b:Title>Theory of Economic Integration</b:Title>
    <b:City>Varsovia</b:City>
    <b:CountryRegion>Poland</b:CountryRegion>
    <b:Author>
      <b:Author>
        <b:NameList>
          <b:Person>
            <b:Last>Śledziewska</b:Last>
            <b:First>Katarzyna</b:First>
          </b:Person>
        </b:NameList>
      </b:Author>
    </b:Author>
    <b:PublicationTitle>Preferential Trade Agreements and the Multilateral Trade System</b:PublicationTitle>
    <b:Publisher>Uniwersytet Warszaski</b:Publisher>
    <b:URL>http://coin.wne.uw.edu.pl/sledziewska/wyklady/tei2.pdf</b:URL>
    <b:RefOrder>12</b:RefOrder>
  </b:Source>
  <b:Source>
    <b:Tag>Vil93</b:Tag>
    <b:SourceType>JournalArticle</b:SourceType>
    <b:Guid>{D2681DC2-9C44-4DFB-8CD2-0EAA253C9BC0}</b:Guid>
    <b:Author>
      <b:Author>
        <b:NameList>
          <b:Person>
            <b:Last>Villanueva</b:Last>
            <b:First>Javier</b:First>
          </b:Person>
        </b:NameList>
      </b:Author>
    </b:Author>
    <b:Title>Los esquemas análiticos de integración</b:Title>
    <b:JournalName>Boletín de lecturas sociales y económicas</b:JournalName>
    <b:Year>1993</b:Year>
    <b:Pages>33-56</b:Pages>
    <b:RefOrder>13</b:RefOrder>
  </b:Source>
  <b:Source>
    <b:Tag>Vis07</b:Tag>
    <b:SourceType>JournalArticle</b:SourceType>
    <b:Guid>{36C98833-E21E-442C-8DB9-5CD254DABEA8}</b:Guid>
    <b:Author>
      <b:Author>
        <b:NameList>
          <b:Person>
            <b:Last>Visintin</b:Last>
            <b:First>Stefano</b:First>
          </b:Person>
        </b:NameList>
      </b:Author>
    </b:Author>
    <b:Title>La integración económica y el crecimiento, teoría y evidencia empírica en la UE</b:Title>
    <b:JournalName>Instituto de Análisis Económico y Social</b:JournalName>
    <b:Year>2007</b:Year>
    <b:Pages>3-26</b:Pages>
    <b:RefOrder>14</b:RefOrder>
  </b:Source>
  <b:Source>
    <b:Tag>Ara04</b:Tag>
    <b:SourceType>DocumentFromInternetSite</b:SourceType>
    <b:Guid>{0CEC95CE-1634-489C-A052-45D6ABEC5DBD}</b:Guid>
    <b:Title>Estados de la Integración Económica</b:Title>
    <b:Year>2004</b:Year>
    <b:Author>
      <b:Author>
        <b:NameList>
          <b:Person>
            <b:Last>Aragón</b:Last>
            <b:First>Edwin</b:First>
          </b:Person>
        </b:NameList>
      </b:Author>
    </b:Author>
    <b:JournalName>Organismo Internacional Regional de Sanidad Agropecuaria</b:JournalName>
    <b:URL>http://www.oirsa.org/aplicaciones/subidoarchivos/BibliotecaVirtual/Estadosdelaintegracioneconomica.pdf</b:URL>
    <b:RefOrder>15</b:RefOrder>
  </b:Source>
  <b:Source>
    <b:Tag>Gua08</b:Tag>
    <b:SourceType>JournalArticle</b:SourceType>
    <b:Guid>{F184D0BC-B0C3-4A3C-8728-EC12A3ED5A18}</b:Guid>
    <b:Title>La sustitución de importaciones como medio para un desarrollo sostenible</b:Title>
    <b:JournalName>Revista Universidad EAFIT</b:JournalName>
    <b:Year>2008</b:Year>
    <b:Pages>56-67</b:Pages>
    <b:Author>
      <b:Author>
        <b:NameList>
          <b:Person>
            <b:Last>Guarín Grisales</b:Last>
            <b:First>Alvaro</b:First>
          </b:Person>
          <b:Person>
            <b:Last>Franco López</b:Last>
            <b:First>Daniel</b:First>
          </b:Person>
        </b:NameList>
      </b:Author>
    </b:Author>
    <b:RefOrder>16</b:RefOrder>
  </b:Source>
  <b:Source>
    <b:Tag>Gar16</b:Tag>
    <b:SourceType>BookSection</b:SourceType>
    <b:Guid>{6E0A482B-8B41-4123-8D38-43DE51A3CE06}</b:Guid>
    <b:Title>De la sustitución de importaciones a la apertura, 1967-1996</b:Title>
    <b:Year>2016</b:Year>
    <b:Author>
      <b:Author>
        <b:NameList>
          <b:Person>
            <b:Last>Garay</b:Last>
            <b:First>Luis</b:First>
            <b:Middle>Jorge</b:Middle>
          </b:Person>
        </b:NameList>
      </b:Author>
      <b:BookAuthor>
        <b:NameList>
          <b:Person>
            <b:Last>Garay</b:Last>
            <b:First>Luis</b:First>
            <b:Middle>Jorge</b:Middle>
          </b:Person>
        </b:NameList>
      </b:BookAuthor>
    </b:Author>
    <b:InternetSiteTitle>Plan Vallejo</b:InternetSiteTitle>
    <b:Month>10</b:Month>
    <b:Day>10</b:Day>
    <b:URL>http://www.banrepcultural.org/blaavirtual/economia/industrilatina/162.htm</b:URL>
    <b:BookTitle>Colombia: Estructura Industrial e Internacionalización 1967-1996</b:BookTitle>
    <b:Pages>19-64</b:Pages>
    <b:City>Bogotá</b:City>
    <b:Publisher>Departamento Nacional de Planeación</b:Publisher>
    <b:RefOrder>17</b:RefOrder>
  </b:Source>
  <b:Source>
    <b:Tag>Dea07</b:Tag>
    <b:SourceType>Report</b:SourceType>
    <b:Guid>{97C27F68-4957-4658-A2C0-39F6CD30F3D3}</b:Guid>
    <b:Author>
      <b:Author>
        <b:NameList>
          <b:Person>
            <b:Last>Deardoff</b:Last>
            <b:First>Alan</b:First>
          </b:Person>
        </b:NameList>
      </b:Author>
    </b:Author>
    <b:Title>The Ricardian Model</b:Title>
    <b:JournalName>Princeton Encyclopedia of the World Economy</b:JournalName>
    <b:Year>2007</b:Year>
    <b:Pages>1-17</b:Pages>
    <b:City>New Jersey</b:City>
    <b:Publisher>Princeton Encyclopedia of the World Economy</b:Publisher>
    <b:RefOrder>18</b:RefOrder>
  </b:Source>
  <b:Source>
    <b:Tag>Man08</b:Tag>
    <b:SourceType>JournalArticle</b:SourceType>
    <b:Guid>{36E6EB0C-8DF0-4C48-ADCD-79004E2F1382}</b:Guid>
    <b:Title>How would David Ricardo have tought the principle of comparative advantage?</b:Title>
    <b:Year>2008</b:Year>
    <b:Pages>1167-1176</b:Pages>
    <b:Author>
      <b:Author>
        <b:NameList>
          <b:Person>
            <b:Last>Maneschi</b:Last>
            <b:First>Andrea</b:First>
          </b:Person>
        </b:NameList>
      </b:Author>
    </b:Author>
    <b:JournalName>Southern Economic Journal</b:JournalName>
    <b:Volume>74</b:Volume>
    <b:URL>http://www.jstor.org/stable/20112020?origin=JSTOR-pdf&amp;seq=1#page_scan_tab_contents</b:URL>
    <b:Issue>4</b:Issue>
    <b:DOI>10.2307/20112020</b:DOI>
    <b:RefOrder>19</b:RefOrder>
  </b:Source>
  <b:Source>
    <b:Tag>Jon57</b:Tag>
    <b:SourceType>JournalArticle</b:SourceType>
    <b:Guid>{8177FE01-C9BF-4D1D-9A62-5617E90C1FD8}</b:Guid>
    <b:Author>
      <b:Author>
        <b:NameList>
          <b:Person>
            <b:Last>Jones</b:Last>
            <b:First>R.W</b:First>
          </b:Person>
        </b:NameList>
      </b:Author>
    </b:Author>
    <b:Title>Factor proportions and the Heckscher-Ohlin Theorem</b:Title>
    <b:JournalName>The review of economic studies</b:JournalName>
    <b:Year>1957</b:Year>
    <b:Pages>1-10</b:Pages>
    <b:Volume>21 No 1</b:Volume>
    <b:URL>www.jstor.org/stable/2296232</b:URL>
    <b:RefOrder>20</b:RefOrder>
  </b:Source>
  <b:Source>
    <b:Tag>Cue94</b:Tag>
    <b:SourceType>JournalArticle</b:SourceType>
    <b:Guid>{E53D6888-8C34-4598-84E5-AC1A6C76D6E3}</b:Guid>
    <b:Author>
      <b:Author>
        <b:NameList>
          <b:Person>
            <b:Last>Cuevas</b:Last>
            <b:First>Homero</b:First>
          </b:Person>
        </b:NameList>
      </b:Author>
    </b:Author>
    <b:Title>Una explicación alternativa de la paradoja de Leontieff</b:Title>
    <b:Year>1994</b:Year>
    <b:JournalName>Cuadernos de Economía</b:JournalName>
    <b:Pages>157-163</b:Pages>
    <b:PublicationTitle>Seminario Semestral de Profesores de la Facultad de Ciencias Económicas de la UNC</b:PublicationTitle>
    <b:RefOrder>21</b:RefOrder>
  </b:Source>
  <b:Source>
    <b:Tag>Fon13</b:Tag>
    <b:SourceType>JournalArticle</b:SourceType>
    <b:Guid>{40BD2B88-52F6-4A3D-8B7E-3DC42B18E23B}</b:Guid>
    <b:Title>Teoría de la internacionalización y de los negocios internacionales: una visión desde la organización</b:Title>
    <b:JournalName>Inquietud Empresarial</b:JournalName>
    <b:Year>2013</b:Year>
    <b:Pages>49-62</b:Pages>
    <b:Author>
      <b:Author>
        <b:NameList>
          <b:Person>
            <b:Last>Fonseca Cifuentes</b:Last>
            <b:First>Gina</b:First>
          </b:Person>
        </b:NameList>
      </b:Author>
    </b:Author>
    <b:Volume>XIII</b:Volume>
    <b:Issue>1</b:Issue>
    <b:RefOrder>22</b:RefOrder>
  </b:Source>
  <b:Source>
    <b:Tag>Kri13</b:Tag>
    <b:SourceType>BookSection</b:SourceType>
    <b:Guid>{168624ED-E11F-4531-9DAB-CD6929719C08}</b:Guid>
    <b:Title>Preferential Trade Agreements: Theory and Evidence</b:Title>
    <b:BookTitle>Palgrave Handbook of International Trade</b:BookTitle>
    <b:Year>2013</b:Year>
    <b:Pages>349-366</b:Pages>
    <b:City>Londes</b:City>
    <b:Publisher>Palgrave Macmillan</b:Publisher>
    <b:LCID>en-US</b:LCID>
    <b:JournalName>Palgrave Handbook of International Trade</b:JournalName>
    <b:Author>
      <b:Author>
        <b:NameList>
          <b:Person>
            <b:Last>Krishna</b:Last>
            <b:First>Pravin</b:First>
          </b:Person>
        </b:NameList>
      </b:Author>
      <b:BookAuthor>
        <b:NameList>
          <b:Person>
            <b:Last>Bernhofen</b:Last>
            <b:First>D</b:First>
          </b:Person>
          <b:Person>
            <b:Last>Falvey</b:Last>
            <b:First>R</b:First>
          </b:Person>
          <b:Person>
            <b:Last>Greenaway</b:Last>
            <b:First>D</b:First>
          </b:Person>
          <b:Person>
            <b:Last>Kreickemeier</b:Last>
            <b:First>U</b:First>
          </b:Person>
        </b:NameList>
      </b:BookAuthor>
    </b:Author>
    <b:DOI>doi.org/10.1007/978-0-230-30531-1_12</b:DOI>
    <b:RefOrder>23</b:RefOrder>
  </b:Source>
  <b:Source>
    <b:Tag>Ree01</b:Tag>
    <b:SourceType>Book</b:SourceType>
    <b:Guid>{DE543BB6-AA40-43E5-A6BF-C308D10468DE}</b:Guid>
    <b:Author>
      <b:Author>
        <b:NameList>
          <b:Person>
            <b:Last>Reed</b:Last>
            <b:First>Michael</b:First>
            <b:Middle>R.</b:Middle>
          </b:Person>
        </b:NameList>
      </b:Author>
    </b:Author>
    <b:Title>International Trade in Agricultural Products</b:Title>
    <b:Year>2001</b:Year>
    <b:City>Ney Yersey, USA</b:City>
    <b:Publisher>Prentice Hall</b:Publisher>
    <b:RefOrder>1</b:RefOrder>
  </b:Source>
  <b:Source>
    <b:Tag>Cza03</b:Tag>
    <b:SourceType>Book</b:SourceType>
    <b:Guid>{CEE1C876-3DC2-4191-B80C-F94A23546346}</b:Guid>
    <b:Author>
      <b:Author>
        <b:NameList>
          <b:Person>
            <b:Last>Czako</b:Last>
            <b:First>J</b:First>
          </b:Person>
          <b:Person>
            <b:Last>J</b:Last>
            <b:First>Humann</b:First>
          </b:Person>
          <b:Person>
            <b:Last>Miranda</b:Last>
            <b:First>J.</b:First>
          </b:Person>
        </b:NameList>
      </b:Author>
    </b:Author>
    <b:Title>A handbook od anti-dumping investigations</b:Title>
    <b:Year>2003</b:Year>
    <b:Publisher>Cambridge University Press</b:Publisher>
    <b:RefOrder>2</b:RefOrder>
  </b:Source>
  <b:Source>
    <b:Tag>Kru07</b:Tag>
    <b:SourceType>Book</b:SourceType>
    <b:Guid>{10357101-06FD-4B3A-957C-521EB651356F}</b:Guid>
    <b:Author>
      <b:Author>
        <b:NameList>
          <b:Person>
            <b:Last>Krugman</b:Last>
            <b:First>Paul</b:First>
            <b:Middle>R.W.</b:Middle>
          </b:Person>
        </b:NameList>
      </b:Author>
    </b:Author>
    <b:Title>Introducción a la Esconomía, Microeconomía</b:Title>
    <b:Year>2007</b:Year>
    <b:City>Barcelona, España</b:City>
    <b:Publisher>Reverté S.A.</b:Publisher>
    <b:RefOrder>3</b:RefOrder>
  </b:Source>
</b:Sources>
</file>

<file path=customXml/itemProps1.xml><?xml version="1.0" encoding="utf-8"?>
<ds:datastoreItem xmlns:ds="http://schemas.openxmlformats.org/officeDocument/2006/customXml" ds:itemID="{D0279CA7-A444-4F6A-BB95-1B603EAB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2684</Words>
  <Characters>14767</Characters>
  <Application>Microsoft Office Word</Application>
  <DocSecurity>0</DocSecurity>
  <Lines>123</Lines>
  <Paragraphs>34</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Blanco</dc:creator>
  <cp:keywords/>
  <dc:description/>
  <cp:lastModifiedBy>Mauricio Gil</cp:lastModifiedBy>
  <cp:revision>3</cp:revision>
  <cp:lastPrinted>2020-04-23T19:47:00Z</cp:lastPrinted>
  <dcterms:created xsi:type="dcterms:W3CDTF">2025-07-22T18:32:00Z</dcterms:created>
  <dcterms:modified xsi:type="dcterms:W3CDTF">2025-07-22T18:36:00Z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http://www.zotero.org/styles/computational-and-mathematical-organization-theory</vt:lpwstr>
  </property>
  <property fmtid="{D5CDD505-2E9C-101B-9397-08002B2CF9AE}" pid="13" name="Mendeley Recent Style Name 5_1">
    <vt:lpwstr>Computational and Mathematical Organization Theory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http://www.zotero.org/styles/mathematics</vt:lpwstr>
  </property>
  <property fmtid="{D5CDD505-2E9C-101B-9397-08002B2CF9AE}" pid="17" name="Mendeley Recent Style Name 7_1">
    <vt:lpwstr>Mathematics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4efc3761-5048-3627-9501-e6b426afc842</vt:lpwstr>
  </property>
  <property fmtid="{D5CDD505-2E9C-101B-9397-08002B2CF9AE}" pid="24" name="Mendeley Citation Style_1">
    <vt:lpwstr>http://www.zotero.org/styles/apa</vt:lpwstr>
  </property>
</Properties>
</file>